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E7A" w:rsidRPr="007014FC" w:rsidRDefault="00CF7E7A" w:rsidP="00CF7E7A">
      <w:pPr>
        <w:spacing w:after="120" w:line="240" w:lineRule="auto"/>
        <w:jc w:val="right"/>
        <w:rPr>
          <w:rFonts w:ascii="Times New Roman" w:hAnsi="Times New Roman" w:cs="Times New Roman"/>
          <w:bCs/>
          <w:sz w:val="24"/>
          <w:szCs w:val="24"/>
          <w:lang w:val="uk-UA"/>
        </w:rPr>
      </w:pPr>
      <w:bookmarkStart w:id="0" w:name="_Hlk503364769"/>
      <w:r w:rsidRPr="007014FC">
        <w:rPr>
          <w:rFonts w:ascii="Times New Roman" w:hAnsi="Times New Roman" w:cs="Times New Roman"/>
          <w:bCs/>
          <w:sz w:val="24"/>
          <w:szCs w:val="24"/>
          <w:lang w:val="uk-UA"/>
        </w:rPr>
        <w:t xml:space="preserve">Додаток </w:t>
      </w:r>
    </w:p>
    <w:p w:rsidR="00CF7E7A" w:rsidRPr="007014FC" w:rsidRDefault="00CF7E7A" w:rsidP="00CF7E7A">
      <w:pPr>
        <w:spacing w:after="120" w:line="240" w:lineRule="auto"/>
        <w:jc w:val="right"/>
        <w:rPr>
          <w:rFonts w:ascii="Times New Roman" w:hAnsi="Times New Roman" w:cs="Times New Roman"/>
          <w:bCs/>
          <w:sz w:val="24"/>
          <w:szCs w:val="24"/>
          <w:lang w:val="uk-UA"/>
        </w:rPr>
      </w:pPr>
      <w:r w:rsidRPr="007014FC">
        <w:rPr>
          <w:rFonts w:ascii="Times New Roman" w:hAnsi="Times New Roman" w:cs="Times New Roman"/>
          <w:bCs/>
          <w:sz w:val="24"/>
          <w:szCs w:val="24"/>
          <w:lang w:val="uk-UA"/>
        </w:rPr>
        <w:t>до листа від 15 січня 2018 року № 06</w:t>
      </w:r>
    </w:p>
    <w:p w:rsidR="00CF7E7A" w:rsidRPr="007014FC" w:rsidRDefault="00CF7E7A" w:rsidP="00CF7E7A">
      <w:pPr>
        <w:spacing w:after="120" w:line="240" w:lineRule="auto"/>
        <w:jc w:val="right"/>
        <w:rPr>
          <w:rFonts w:ascii="Times New Roman" w:hAnsi="Times New Roman" w:cs="Times New Roman"/>
          <w:bCs/>
          <w:sz w:val="24"/>
          <w:szCs w:val="24"/>
          <w:lang w:val="uk-UA"/>
        </w:rPr>
      </w:pPr>
    </w:p>
    <w:p w:rsidR="00CF7E7A" w:rsidRPr="007014FC" w:rsidRDefault="00CF7E7A" w:rsidP="00CF7E7A">
      <w:pPr>
        <w:spacing w:after="120" w:line="240" w:lineRule="auto"/>
        <w:jc w:val="center"/>
        <w:rPr>
          <w:rFonts w:ascii="Times New Roman" w:hAnsi="Times New Roman" w:cs="Times New Roman"/>
          <w:b/>
          <w:bCs/>
          <w:sz w:val="24"/>
          <w:szCs w:val="24"/>
          <w:u w:val="single"/>
          <w:lang w:val="uk-UA"/>
        </w:rPr>
      </w:pPr>
      <w:r w:rsidRPr="007014FC">
        <w:rPr>
          <w:rFonts w:ascii="Times New Roman" w:hAnsi="Times New Roman" w:cs="Times New Roman"/>
          <w:b/>
          <w:bCs/>
          <w:sz w:val="24"/>
          <w:szCs w:val="24"/>
          <w:u w:val="single"/>
          <w:lang w:val="uk-UA"/>
        </w:rPr>
        <w:t xml:space="preserve">Зауваження та пропозиції до проекту </w:t>
      </w:r>
    </w:p>
    <w:p w:rsidR="00CF7E7A" w:rsidRPr="007014FC" w:rsidRDefault="00CF7E7A" w:rsidP="00CF7E7A">
      <w:pPr>
        <w:spacing w:after="120" w:line="240" w:lineRule="auto"/>
        <w:jc w:val="center"/>
        <w:rPr>
          <w:rFonts w:ascii="Times New Roman" w:hAnsi="Times New Roman" w:cs="Times New Roman"/>
          <w:b/>
          <w:bCs/>
          <w:sz w:val="24"/>
          <w:szCs w:val="24"/>
          <w:u w:val="single"/>
          <w:lang w:val="uk-UA"/>
        </w:rPr>
      </w:pPr>
      <w:r w:rsidRPr="007014FC">
        <w:rPr>
          <w:rFonts w:ascii="Times New Roman" w:hAnsi="Times New Roman" w:cs="Times New Roman"/>
          <w:b/>
          <w:bCs/>
          <w:sz w:val="24"/>
          <w:szCs w:val="24"/>
          <w:u w:val="single"/>
          <w:lang w:val="uk-UA"/>
        </w:rPr>
        <w:t>Правил надання доступу до інфраструктури об’єкта електроенергетики</w:t>
      </w:r>
    </w:p>
    <w:bookmarkEnd w:id="0"/>
    <w:p w:rsidR="00CF7E7A" w:rsidRPr="007014FC" w:rsidRDefault="00CF7E7A" w:rsidP="00CF7E7A">
      <w:pPr>
        <w:spacing w:after="120" w:line="240" w:lineRule="auto"/>
        <w:jc w:val="center"/>
        <w:rPr>
          <w:rFonts w:ascii="Times New Roman" w:hAnsi="Times New Roman" w:cs="Times New Roman"/>
          <w:b/>
          <w:bCs/>
          <w:sz w:val="24"/>
          <w:szCs w:val="24"/>
          <w:u w:val="single"/>
          <w:lang w:val="uk-UA"/>
        </w:rPr>
      </w:pP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 xml:space="preserve">1. </w:t>
      </w:r>
      <w:bookmarkStart w:id="1" w:name="_Hlk503767147"/>
      <w:r w:rsidRPr="007014FC">
        <w:rPr>
          <w:rFonts w:ascii="Times New Roman" w:hAnsi="Times New Roman" w:cs="Times New Roman"/>
          <w:bCs/>
          <w:sz w:val="24"/>
          <w:szCs w:val="24"/>
          <w:lang w:val="uk-UA"/>
        </w:rPr>
        <w:t xml:space="preserve">У пункті 1 Розділу IV «Порядок та строки розроблення і погодження проектної документації» доопрацьованого проекту Правил четверте речення пропонується викласти в редакції: «При повторному розгляді </w:t>
      </w:r>
      <w:proofErr w:type="spellStart"/>
      <w:r w:rsidRPr="007014FC">
        <w:rPr>
          <w:rFonts w:ascii="Times New Roman" w:hAnsi="Times New Roman" w:cs="Times New Roman"/>
          <w:bCs/>
          <w:sz w:val="24"/>
          <w:szCs w:val="24"/>
          <w:lang w:val="uk-UA"/>
        </w:rPr>
        <w:t>проектноі</w:t>
      </w:r>
      <w:proofErr w:type="spellEnd"/>
      <w:r w:rsidRPr="007014FC">
        <w:rPr>
          <w:rFonts w:ascii="Times New Roman" w:hAnsi="Times New Roman" w:cs="Times New Roman"/>
          <w:bCs/>
          <w:sz w:val="24"/>
          <w:szCs w:val="24"/>
          <w:lang w:val="uk-UA"/>
        </w:rPr>
        <w:t xml:space="preserve">̈ документації̈ з доступу надання будь-яких нових зауважень з боку власника, крім наданих раніше, не допускається, </w:t>
      </w:r>
      <w:r w:rsidRPr="007014FC">
        <w:rPr>
          <w:rFonts w:ascii="Times New Roman" w:hAnsi="Times New Roman" w:cs="Times New Roman"/>
          <w:b/>
          <w:bCs/>
          <w:i/>
          <w:sz w:val="24"/>
          <w:szCs w:val="24"/>
          <w:lang w:val="uk-UA"/>
        </w:rPr>
        <w:t>окрім оцінки способу усунення зауважень</w:t>
      </w:r>
      <w:r w:rsidRPr="007014FC">
        <w:rPr>
          <w:rFonts w:ascii="Times New Roman" w:hAnsi="Times New Roman" w:cs="Times New Roman"/>
          <w:bCs/>
          <w:sz w:val="24"/>
          <w:szCs w:val="24"/>
          <w:lang w:val="uk-UA"/>
        </w:rPr>
        <w:t>».</w:t>
      </w:r>
      <w:bookmarkEnd w:id="1"/>
    </w:p>
    <w:p w:rsidR="00CF7E7A" w:rsidRPr="007014FC" w:rsidRDefault="00CF7E7A" w:rsidP="00CF7E7A">
      <w:pPr>
        <w:spacing w:after="120" w:line="240" w:lineRule="auto"/>
        <w:ind w:firstLine="708"/>
        <w:jc w:val="both"/>
        <w:rPr>
          <w:rFonts w:ascii="Times New Roman" w:hAnsi="Times New Roman" w:cs="Times New Roman"/>
          <w:bCs/>
          <w:i/>
          <w:sz w:val="24"/>
          <w:szCs w:val="24"/>
          <w:lang w:val="uk-UA"/>
        </w:rPr>
      </w:pPr>
      <w:r w:rsidRPr="007014FC">
        <w:rPr>
          <w:rFonts w:ascii="Times New Roman" w:hAnsi="Times New Roman" w:cs="Times New Roman"/>
          <w:bCs/>
          <w:sz w:val="24"/>
          <w:szCs w:val="24"/>
          <w:lang w:val="uk-UA"/>
        </w:rPr>
        <w:t>Проте, зазначений у цьому положенні проекту документу вираз «окрім оцінки способу усунення зауважень», не відповідає вимогам частини третьої статті 13 Закону України «Про доступ до об’єктів будівництва, транспорту, електроенергетики з метою розвитку телекомунікаційних мереж» (далі – Закон про доступ), де зазначено, що «</w:t>
      </w:r>
      <w:r w:rsidRPr="007014FC">
        <w:rPr>
          <w:rFonts w:ascii="Times New Roman" w:hAnsi="Times New Roman" w:cs="Times New Roman"/>
          <w:bCs/>
          <w:i/>
          <w:sz w:val="24"/>
          <w:szCs w:val="24"/>
          <w:lang w:val="uk-UA"/>
        </w:rPr>
        <w:t>власник інфраструктури об’єкта доступу може відмовити замовнику у погодженні проектної документації з доступу виключно на підставі її невідповідності виданим технічним умовам з доступу».</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 xml:space="preserve">Отже, Законом про доступ встановлено єдину підставу відмови власником у погодженні проектної документації замовника, а саме, невідповідність виготовленої проектної документації виданим технічним умовам з доступу, і будь-яких виключень із цього положення Законом про доступ не встановлено. </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 xml:space="preserve">Крім цього, наказом від 20.04.2010 №153 «Про затвердження Методичних рекомендацій з підготовки та оформлення проектів законів України, нормативно-правових актів Президента України, Кабінету Міністрів України та наказів Мінпаливенерго» визначено, що «правила – нормативно-правовий акт, </w:t>
      </w:r>
      <w:r w:rsidRPr="007014FC">
        <w:rPr>
          <w:rFonts w:ascii="Times New Roman" w:hAnsi="Times New Roman" w:cs="Times New Roman"/>
          <w:bCs/>
          <w:sz w:val="24"/>
          <w:szCs w:val="24"/>
          <w:u w:val="single"/>
          <w:lang w:val="uk-UA"/>
        </w:rPr>
        <w:t>який конкретизує нормативні приписи загального характеру</w:t>
      </w:r>
      <w:r w:rsidRPr="007014FC">
        <w:rPr>
          <w:rFonts w:ascii="Times New Roman" w:hAnsi="Times New Roman" w:cs="Times New Roman"/>
          <w:bCs/>
          <w:sz w:val="24"/>
          <w:szCs w:val="24"/>
          <w:lang w:val="uk-UA"/>
        </w:rPr>
        <w:t xml:space="preserve"> з метою регулювання поведінки суб'єктів правовідносин у певних галузях і вирішує процедурні питання».</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Враховуючи наведене, із четвертого речення пункту 1 Розділу IV «Порядок та строки розроблення і погодження проектної документації» доопрацьованого проекту Правил виключити словосполучення «окрім оцінки способу усунення зауважень», як таке, що не відповідає положенням Закону про доступ.</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spacing w:after="120" w:line="240" w:lineRule="auto"/>
        <w:ind w:firstLine="708"/>
        <w:jc w:val="both"/>
        <w:rPr>
          <w:rFonts w:ascii="Times New Roman" w:hAnsi="Times New Roman" w:cs="Times New Roman"/>
          <w:bCs/>
          <w:i/>
          <w:sz w:val="24"/>
          <w:szCs w:val="24"/>
          <w:lang w:val="uk-UA"/>
        </w:rPr>
      </w:pPr>
      <w:r w:rsidRPr="007014FC">
        <w:rPr>
          <w:rFonts w:ascii="Times New Roman" w:hAnsi="Times New Roman" w:cs="Times New Roman"/>
          <w:bCs/>
          <w:sz w:val="24"/>
          <w:szCs w:val="24"/>
          <w:lang w:val="uk-UA"/>
        </w:rPr>
        <w:t xml:space="preserve">2. У підпункті 4 пункту 5 Розділу VI «Порядок та строки укладення договору з доступу» доопрацьованого проекту Правил виключено вираз </w:t>
      </w:r>
      <w:r w:rsidRPr="007014FC">
        <w:rPr>
          <w:rFonts w:ascii="Times New Roman" w:hAnsi="Times New Roman" w:cs="Times New Roman"/>
          <w:bCs/>
          <w:i/>
          <w:sz w:val="24"/>
          <w:szCs w:val="24"/>
          <w:lang w:val="uk-UA"/>
        </w:rPr>
        <w:t>«…та не може змінюватися протягом одного року з дня укладення договору».</w:t>
      </w:r>
    </w:p>
    <w:p w:rsidR="00CF7E7A" w:rsidRPr="007014FC" w:rsidRDefault="00CF7E7A" w:rsidP="00CF7E7A">
      <w:pPr>
        <w:spacing w:after="120" w:line="240" w:lineRule="auto"/>
        <w:ind w:firstLine="708"/>
        <w:jc w:val="both"/>
        <w:rPr>
          <w:rFonts w:ascii="Times New Roman" w:hAnsi="Times New Roman" w:cs="Times New Roman"/>
          <w:bCs/>
          <w:i/>
          <w:sz w:val="24"/>
          <w:szCs w:val="24"/>
          <w:lang w:val="uk-UA"/>
        </w:rPr>
      </w:pPr>
      <w:r w:rsidRPr="007014FC">
        <w:rPr>
          <w:rFonts w:ascii="Times New Roman" w:hAnsi="Times New Roman" w:cs="Times New Roman"/>
          <w:bCs/>
          <w:sz w:val="24"/>
          <w:szCs w:val="24"/>
          <w:lang w:val="uk-UA"/>
        </w:rPr>
        <w:t>Проте, частиною восьмою статті 17 Закону про доступ встановлено, що</w:t>
      </w:r>
      <w:r w:rsidRPr="007014FC">
        <w:rPr>
          <w:rFonts w:ascii="Times New Roman" w:hAnsi="Times New Roman" w:cs="Times New Roman"/>
          <w:sz w:val="24"/>
          <w:szCs w:val="24"/>
        </w:rPr>
        <w:t xml:space="preserve"> </w:t>
      </w:r>
      <w:r w:rsidRPr="007014FC">
        <w:rPr>
          <w:rFonts w:ascii="Times New Roman" w:hAnsi="Times New Roman" w:cs="Times New Roman"/>
          <w:bCs/>
          <w:i/>
          <w:sz w:val="24"/>
          <w:szCs w:val="24"/>
          <w:lang w:val="uk-UA"/>
        </w:rPr>
        <w:t>«розмір плати за доступ має бути сталим і не може змінюватися протягом одного року з дня укладення договору з доступу».</w:t>
      </w:r>
    </w:p>
    <w:p w:rsidR="00CF7E7A" w:rsidRPr="007014FC" w:rsidRDefault="00CF7E7A" w:rsidP="00CF7E7A">
      <w:pPr>
        <w:spacing w:after="120" w:line="240" w:lineRule="auto"/>
        <w:ind w:firstLine="708"/>
        <w:jc w:val="both"/>
        <w:rPr>
          <w:rFonts w:ascii="Times New Roman" w:hAnsi="Times New Roman" w:cs="Times New Roman"/>
          <w:b/>
          <w:bCs/>
          <w:i/>
          <w:sz w:val="24"/>
          <w:szCs w:val="24"/>
          <w:lang w:val="uk-UA"/>
        </w:rPr>
      </w:pPr>
      <w:r w:rsidRPr="007014FC">
        <w:rPr>
          <w:rFonts w:ascii="Times New Roman" w:hAnsi="Times New Roman" w:cs="Times New Roman"/>
          <w:bCs/>
          <w:sz w:val="24"/>
          <w:szCs w:val="24"/>
          <w:lang w:val="uk-UA"/>
        </w:rPr>
        <w:t>Враховуючи наведене, пропонуємо</w:t>
      </w:r>
      <w:r w:rsidRPr="007014FC">
        <w:rPr>
          <w:rFonts w:ascii="Times New Roman" w:hAnsi="Times New Roman" w:cs="Times New Roman"/>
          <w:sz w:val="24"/>
          <w:szCs w:val="24"/>
        </w:rPr>
        <w:t xml:space="preserve"> </w:t>
      </w:r>
      <w:r w:rsidRPr="007014FC">
        <w:rPr>
          <w:rFonts w:ascii="Times New Roman" w:hAnsi="Times New Roman" w:cs="Times New Roman"/>
          <w:bCs/>
          <w:sz w:val="24"/>
          <w:szCs w:val="24"/>
          <w:lang w:val="uk-UA"/>
        </w:rPr>
        <w:t>підпункт 4 пункту 5 Розділу VI «Порядок та строки укладення договору з доступу» залишити у попередній редакції, зазначивши:</w:t>
      </w:r>
      <w:r w:rsidRPr="007014FC">
        <w:rPr>
          <w:rFonts w:ascii="Times New Roman" w:hAnsi="Times New Roman" w:cs="Times New Roman"/>
          <w:sz w:val="24"/>
          <w:szCs w:val="24"/>
        </w:rPr>
        <w:t xml:space="preserve"> </w:t>
      </w:r>
      <w:r w:rsidRPr="007014FC">
        <w:rPr>
          <w:rFonts w:ascii="Times New Roman" w:hAnsi="Times New Roman" w:cs="Times New Roman"/>
          <w:sz w:val="24"/>
          <w:szCs w:val="24"/>
          <w:lang w:val="uk-UA"/>
        </w:rPr>
        <w:t>«</w:t>
      </w:r>
      <w:r w:rsidRPr="007014FC">
        <w:rPr>
          <w:rFonts w:ascii="Times New Roman" w:hAnsi="Times New Roman" w:cs="Times New Roman"/>
          <w:b/>
          <w:bCs/>
          <w:i/>
          <w:sz w:val="24"/>
          <w:szCs w:val="24"/>
          <w:lang w:val="uk-UA"/>
        </w:rPr>
        <w:t>4) розмір плати за доступ, визначений згідно з методикою визначення плати за доступ до елементів інфраструктури об’єкта електроенергетики, та не може змінюватися протягом одного року з дня укладення договору».</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lastRenderedPageBreak/>
        <w:t>3. У підпункті 1 пункту 6 Розділу VI «Порядок та строки укладення договору з доступу» доопрацьованого проекту Правил запропоновано змінити обрахунок строку з робочих днів на календарні дні, визначений для виконання замовником претензії щодо усунення невідповідності фактичного стану телекомунікаційних мереж проектним рішенням.</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Проте, пропонуємо у цьому положенні нормативно-правого акту встановити облік строку саме у робочих днях, оскільки, встановлення менших строків для усунення замовником претензій власника може бути невиконаним з причин, які не залежатимуть від замовника. Наприклад, на період 30 календарних днів припадає значна кількість вихідних та святкових днів (грудень, травень щороку), несприятливі погодні умови, які заважатимуть доступу для усунення невідповідності та виявлених недоліків, інші об’єктивні причини.</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Тому, пропонуємо у підпункті 1 пункту 6 Розділу VI «Порядок та строки укладення договору з доступу» доопрацьованого проекту Правил залишити у попередній редакції, зазначивши:</w:t>
      </w:r>
      <w:r w:rsidRPr="007014FC">
        <w:rPr>
          <w:rFonts w:ascii="Times New Roman" w:hAnsi="Times New Roman" w:cs="Times New Roman"/>
          <w:sz w:val="24"/>
          <w:szCs w:val="24"/>
          <w:lang w:val="uk-UA"/>
        </w:rPr>
        <w:t xml:space="preserve"> «</w:t>
      </w:r>
      <w:r w:rsidRPr="007014FC">
        <w:rPr>
          <w:rFonts w:ascii="Times New Roman" w:hAnsi="Times New Roman" w:cs="Times New Roman"/>
          <w:bCs/>
          <w:sz w:val="24"/>
          <w:szCs w:val="24"/>
          <w:lang w:val="uk-UA"/>
        </w:rPr>
        <w:t xml:space="preserve">1) невиконання протягом </w:t>
      </w:r>
      <w:r w:rsidRPr="007014FC">
        <w:rPr>
          <w:rFonts w:ascii="Times New Roman" w:hAnsi="Times New Roman" w:cs="Times New Roman"/>
          <w:b/>
          <w:bCs/>
          <w:sz w:val="24"/>
          <w:szCs w:val="24"/>
          <w:lang w:val="uk-UA"/>
        </w:rPr>
        <w:t>30 робочих днів</w:t>
      </w:r>
      <w:r w:rsidRPr="007014FC">
        <w:rPr>
          <w:rFonts w:ascii="Times New Roman" w:hAnsi="Times New Roman" w:cs="Times New Roman"/>
          <w:bCs/>
          <w:sz w:val="24"/>
          <w:szCs w:val="24"/>
          <w:lang w:val="uk-UA"/>
        </w:rPr>
        <w:t xml:space="preserve"> вимог претензії щодо усунення невідповідності фактичного стану телекомунікаційних мереж проектним рішенням».</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 xml:space="preserve"> 4. Підпункт 2 </w:t>
      </w:r>
      <w:bookmarkStart w:id="2" w:name="_Hlk503769053"/>
      <w:r w:rsidRPr="007014FC">
        <w:rPr>
          <w:rFonts w:ascii="Times New Roman" w:hAnsi="Times New Roman" w:cs="Times New Roman"/>
          <w:bCs/>
          <w:sz w:val="24"/>
          <w:szCs w:val="24"/>
          <w:lang w:val="uk-UA"/>
        </w:rPr>
        <w:t>пункту 1 Розділу X «Права та обов'язки власників інфраструктури об’єкта електроенергетики і замовників»</w:t>
      </w:r>
      <w:r w:rsidRPr="007014FC">
        <w:rPr>
          <w:rFonts w:ascii="Times New Roman" w:hAnsi="Times New Roman" w:cs="Times New Roman"/>
          <w:sz w:val="24"/>
          <w:szCs w:val="24"/>
        </w:rPr>
        <w:t xml:space="preserve"> </w:t>
      </w:r>
      <w:bookmarkStart w:id="3" w:name="_Hlk503768810"/>
      <w:r w:rsidRPr="007014FC">
        <w:rPr>
          <w:rFonts w:ascii="Times New Roman" w:hAnsi="Times New Roman" w:cs="Times New Roman"/>
          <w:bCs/>
          <w:sz w:val="24"/>
          <w:szCs w:val="24"/>
          <w:lang w:val="uk-UA"/>
        </w:rPr>
        <w:t xml:space="preserve">доопрацьованого проекту Правил </w:t>
      </w:r>
      <w:bookmarkEnd w:id="3"/>
      <w:r w:rsidRPr="007014FC">
        <w:rPr>
          <w:rFonts w:ascii="Times New Roman" w:hAnsi="Times New Roman" w:cs="Times New Roman"/>
          <w:bCs/>
          <w:sz w:val="24"/>
          <w:szCs w:val="24"/>
          <w:lang w:val="uk-UA"/>
        </w:rPr>
        <w:t xml:space="preserve">викласти </w:t>
      </w:r>
      <w:bookmarkEnd w:id="2"/>
      <w:r w:rsidRPr="007014FC">
        <w:rPr>
          <w:rFonts w:ascii="Times New Roman" w:hAnsi="Times New Roman" w:cs="Times New Roman"/>
          <w:bCs/>
          <w:sz w:val="24"/>
          <w:szCs w:val="24"/>
          <w:lang w:val="uk-UA"/>
        </w:rPr>
        <w:t xml:space="preserve">у редакції: «2) визначати плату за доступ згідно з </w:t>
      </w:r>
      <w:r w:rsidRPr="007014FC">
        <w:rPr>
          <w:rFonts w:ascii="Times New Roman" w:hAnsi="Times New Roman" w:cs="Times New Roman"/>
          <w:b/>
          <w:bCs/>
          <w:sz w:val="24"/>
          <w:szCs w:val="24"/>
          <w:lang w:val="uk-UA"/>
        </w:rPr>
        <w:t>Законом та</w:t>
      </w:r>
      <w:r w:rsidRPr="007014FC">
        <w:rPr>
          <w:rFonts w:ascii="Times New Roman" w:hAnsi="Times New Roman" w:cs="Times New Roman"/>
          <w:bCs/>
          <w:sz w:val="24"/>
          <w:szCs w:val="24"/>
          <w:lang w:val="uk-UA"/>
        </w:rPr>
        <w:t xml:space="preserve"> Методикою визначення плати за доступ до елементів інфраструктури об’єкта електроенергетики».</w:t>
      </w:r>
    </w:p>
    <w:p w:rsidR="00CF7E7A" w:rsidRPr="007014FC" w:rsidRDefault="00CF7E7A" w:rsidP="00CF7E7A">
      <w:pPr>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Тобто, пропонується доповнити речення виразом «Законом та..», оскільки , вважаємо, така редакція цього положення нормативно-правового акту відповідатиме статті 17 Закону про доступ. Крім цього, в інших положеннях доопрацьованого проекту Правил також є посилання на Закон про доступ.</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tabs>
          <w:tab w:val="left" w:pos="6110"/>
        </w:tabs>
        <w:spacing w:after="120" w:line="240" w:lineRule="auto"/>
        <w:ind w:firstLine="708"/>
        <w:jc w:val="both"/>
        <w:rPr>
          <w:rFonts w:ascii="Times New Roman" w:hAnsi="Times New Roman" w:cs="Times New Roman"/>
          <w:b/>
          <w:bCs/>
          <w:sz w:val="24"/>
          <w:szCs w:val="24"/>
          <w:lang w:val="uk-UA"/>
        </w:rPr>
      </w:pPr>
      <w:r w:rsidRPr="007014FC">
        <w:rPr>
          <w:rFonts w:ascii="Times New Roman" w:hAnsi="Times New Roman" w:cs="Times New Roman"/>
          <w:bCs/>
          <w:sz w:val="24"/>
          <w:szCs w:val="24"/>
          <w:lang w:val="uk-UA"/>
        </w:rPr>
        <w:t>5. Підпункт 6 пункту 1 Розділу X «Права та обов'язки власників інфраструктури об’єкта електроенергетики і замовників» доопрацьованого проекту Правил викласти у редакції: «6) демонтувати (частково демонтувати) технічні засоби телекомунікацій, розміщені на елементах інфраструктури об’єкта електроенергетики</w:t>
      </w:r>
      <w:r w:rsidRPr="007014FC">
        <w:rPr>
          <w:rFonts w:ascii="Times New Roman" w:hAnsi="Times New Roman" w:cs="Times New Roman"/>
          <w:b/>
          <w:bCs/>
          <w:sz w:val="24"/>
          <w:szCs w:val="24"/>
          <w:lang w:val="uk-UA"/>
        </w:rPr>
        <w:t xml:space="preserve"> на умовах, визначених цими Правилами».</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Слід зазначити, що загальна процедура демонтажу</w:t>
      </w:r>
      <w:r w:rsidRPr="007014FC">
        <w:rPr>
          <w:rFonts w:ascii="Times New Roman" w:hAnsi="Times New Roman" w:cs="Times New Roman"/>
          <w:sz w:val="24"/>
          <w:szCs w:val="24"/>
        </w:rPr>
        <w:t xml:space="preserve"> </w:t>
      </w:r>
      <w:r w:rsidRPr="007014FC">
        <w:rPr>
          <w:rFonts w:ascii="Times New Roman" w:hAnsi="Times New Roman" w:cs="Times New Roman"/>
          <w:bCs/>
          <w:sz w:val="24"/>
          <w:szCs w:val="24"/>
          <w:lang w:val="uk-UA"/>
        </w:rPr>
        <w:t>технічних засобів телекомунікацій законодавством</w:t>
      </w:r>
      <w:r w:rsidRPr="007014FC">
        <w:rPr>
          <w:rFonts w:ascii="Times New Roman" w:hAnsi="Times New Roman" w:cs="Times New Roman"/>
          <w:sz w:val="24"/>
          <w:szCs w:val="24"/>
        </w:rPr>
        <w:t xml:space="preserve"> </w:t>
      </w:r>
      <w:r w:rsidRPr="007014FC">
        <w:rPr>
          <w:rFonts w:ascii="Times New Roman" w:hAnsi="Times New Roman" w:cs="Times New Roman"/>
          <w:bCs/>
          <w:sz w:val="24"/>
          <w:szCs w:val="24"/>
          <w:lang w:val="uk-UA"/>
        </w:rPr>
        <w:t>не встановлена, а коло прав та обов’язків сторін буде визначатись даними Правилами.</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 xml:space="preserve">Отже, вважаємо, посилання у згаданому положенні нормативно-правового акту на Правила буде доречним та запобігатиме вчиненню демонтажу технічних засобів телекомунікацій поза процедурами, які не встановлені Правилами та умовами договору з доступу, що, в свою чергу, спрятиме захисту прав власника таких засобів. </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tabs>
          <w:tab w:val="left" w:pos="6110"/>
        </w:tabs>
        <w:spacing w:after="120" w:line="240" w:lineRule="auto"/>
        <w:ind w:firstLine="708"/>
        <w:jc w:val="both"/>
        <w:rPr>
          <w:rFonts w:ascii="Times New Roman" w:hAnsi="Times New Roman" w:cs="Times New Roman"/>
          <w:b/>
          <w:bCs/>
          <w:sz w:val="24"/>
          <w:szCs w:val="24"/>
          <w:lang w:val="uk-UA"/>
        </w:rPr>
      </w:pPr>
      <w:r w:rsidRPr="007014FC">
        <w:rPr>
          <w:rFonts w:ascii="Times New Roman" w:hAnsi="Times New Roman" w:cs="Times New Roman"/>
          <w:bCs/>
          <w:sz w:val="24"/>
          <w:szCs w:val="24"/>
          <w:lang w:val="uk-UA"/>
        </w:rPr>
        <w:t>6. Розділ XI «Плата за доступ до інфраструктури об’єкта електроенергетики»</w:t>
      </w:r>
      <w:r w:rsidRPr="007014FC">
        <w:rPr>
          <w:rFonts w:ascii="Times New Roman" w:hAnsi="Times New Roman" w:cs="Times New Roman"/>
          <w:sz w:val="24"/>
          <w:szCs w:val="24"/>
        </w:rPr>
        <w:t xml:space="preserve"> </w:t>
      </w:r>
      <w:r w:rsidRPr="007014FC">
        <w:rPr>
          <w:rFonts w:ascii="Times New Roman" w:hAnsi="Times New Roman" w:cs="Times New Roman"/>
          <w:bCs/>
          <w:sz w:val="24"/>
          <w:szCs w:val="24"/>
          <w:lang w:val="uk-UA"/>
        </w:rPr>
        <w:t xml:space="preserve">доопрацьованого проекту Правил доповнити новим пунктом, який викласти у редакції: </w:t>
      </w:r>
      <w:r w:rsidRPr="007014FC">
        <w:rPr>
          <w:rFonts w:ascii="Times New Roman" w:hAnsi="Times New Roman" w:cs="Times New Roman"/>
          <w:b/>
          <w:bCs/>
          <w:sz w:val="24"/>
          <w:szCs w:val="24"/>
          <w:lang w:val="uk-UA"/>
        </w:rPr>
        <w:t>«3. До затвердження методики визначення плати за доступ, оплата за доступ здійснюється на договірних засадах, погоджених між власником та замовником, але не повинна перевищувати граничних розмірів визначених Законом України «Про доступ до об’єктів будівництва, транспорту, електроенергетики з метою розвитку телекомунікаційних мереж».</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tabs>
          <w:tab w:val="left" w:pos="6110"/>
        </w:tabs>
        <w:spacing w:after="120" w:line="240" w:lineRule="auto"/>
        <w:ind w:firstLine="708"/>
        <w:jc w:val="both"/>
        <w:rPr>
          <w:rFonts w:ascii="Times New Roman" w:hAnsi="Times New Roman" w:cs="Times New Roman"/>
          <w:bCs/>
          <w:i/>
          <w:sz w:val="24"/>
          <w:szCs w:val="24"/>
          <w:lang w:val="uk-UA"/>
        </w:rPr>
      </w:pPr>
      <w:r w:rsidRPr="007014FC">
        <w:rPr>
          <w:rFonts w:ascii="Times New Roman" w:hAnsi="Times New Roman" w:cs="Times New Roman"/>
          <w:bCs/>
          <w:sz w:val="24"/>
          <w:szCs w:val="24"/>
          <w:lang w:val="uk-UA"/>
        </w:rPr>
        <w:lastRenderedPageBreak/>
        <w:t xml:space="preserve">7. У п.п. 3.1.6 розділу 3 Примірного договору з надання доступу до інфраструктури об’єкта електроенергетики, де зазначено, що власник має право </w:t>
      </w:r>
      <w:r w:rsidRPr="007014FC">
        <w:rPr>
          <w:rFonts w:ascii="Times New Roman" w:hAnsi="Times New Roman" w:cs="Times New Roman"/>
          <w:bCs/>
          <w:i/>
          <w:sz w:val="24"/>
          <w:szCs w:val="24"/>
          <w:lang w:val="uk-UA"/>
        </w:rPr>
        <w:t>«перевіряти хід виконання Замовником робіт щодо розміщення технічних засобів ТМ на елементах об'єктів електроенергетики, визначених у Додатку № 1 до Договору»</w:t>
      </w:r>
      <w:r w:rsidRPr="007014FC">
        <w:rPr>
          <w:rFonts w:ascii="Times New Roman" w:hAnsi="Times New Roman" w:cs="Times New Roman"/>
          <w:bCs/>
          <w:sz w:val="24"/>
          <w:szCs w:val="24"/>
          <w:lang w:val="uk-UA"/>
        </w:rPr>
        <w:t xml:space="preserve">, необхідно </w:t>
      </w:r>
      <w:r w:rsidRPr="007014FC">
        <w:rPr>
          <w:rFonts w:ascii="Times New Roman" w:hAnsi="Times New Roman" w:cs="Times New Roman"/>
          <w:b/>
          <w:bCs/>
          <w:sz w:val="24"/>
          <w:szCs w:val="24"/>
          <w:lang w:val="uk-UA"/>
        </w:rPr>
        <w:t>конкретизувати, що ці дії власник виконує</w:t>
      </w:r>
      <w:r w:rsidRPr="007014FC">
        <w:rPr>
          <w:rFonts w:ascii="Times New Roman" w:hAnsi="Times New Roman" w:cs="Times New Roman"/>
          <w:b/>
          <w:sz w:val="24"/>
          <w:szCs w:val="24"/>
          <w:lang w:val="uk-UA"/>
        </w:rPr>
        <w:t xml:space="preserve"> </w:t>
      </w:r>
      <w:r w:rsidRPr="007014FC">
        <w:rPr>
          <w:rFonts w:ascii="Times New Roman" w:hAnsi="Times New Roman" w:cs="Times New Roman"/>
          <w:b/>
          <w:bCs/>
          <w:sz w:val="24"/>
          <w:szCs w:val="24"/>
          <w:lang w:val="uk-UA"/>
        </w:rPr>
        <w:t xml:space="preserve">без стягнення плати, </w:t>
      </w:r>
      <w:r w:rsidRPr="007014FC">
        <w:rPr>
          <w:rFonts w:ascii="Times New Roman" w:hAnsi="Times New Roman" w:cs="Times New Roman"/>
          <w:bCs/>
          <w:sz w:val="24"/>
          <w:szCs w:val="24"/>
          <w:lang w:val="uk-UA"/>
        </w:rPr>
        <w:t xml:space="preserve">як це визначено у частині дев’ятій статті 17 Закону про доступ: </w:t>
      </w:r>
      <w:r w:rsidRPr="007014FC">
        <w:rPr>
          <w:rFonts w:ascii="Times New Roman" w:hAnsi="Times New Roman" w:cs="Times New Roman"/>
          <w:bCs/>
          <w:i/>
          <w:sz w:val="24"/>
          <w:szCs w:val="24"/>
          <w:lang w:val="uk-UA"/>
        </w:rPr>
        <w:t>«Забороняється встановлення додаткової плати за доступ, крім визначеної цим Законом, після укладення договору з доступу.</w:t>
      </w:r>
    </w:p>
    <w:p w:rsidR="00CF7E7A" w:rsidRPr="007014FC" w:rsidRDefault="00CF7E7A" w:rsidP="00CF7E7A">
      <w:pPr>
        <w:tabs>
          <w:tab w:val="left" w:pos="6110"/>
        </w:tabs>
        <w:spacing w:after="120" w:line="240" w:lineRule="auto"/>
        <w:ind w:firstLine="708"/>
        <w:jc w:val="both"/>
        <w:rPr>
          <w:rFonts w:ascii="Times New Roman" w:hAnsi="Times New Roman" w:cs="Times New Roman"/>
          <w:bCs/>
          <w:i/>
          <w:sz w:val="24"/>
          <w:szCs w:val="24"/>
          <w:lang w:val="uk-UA"/>
        </w:rPr>
      </w:pP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 xml:space="preserve">8. Пропонуємо п.п. 3.1.7 та </w:t>
      </w:r>
      <w:r w:rsidRPr="007014FC">
        <w:rPr>
          <w:rFonts w:ascii="Times New Roman" w:hAnsi="Times New Roman" w:cs="Times New Roman"/>
          <w:sz w:val="24"/>
          <w:szCs w:val="24"/>
          <w:lang w:val="uk-UA"/>
        </w:rPr>
        <w:t xml:space="preserve"> </w:t>
      </w:r>
      <w:r w:rsidRPr="007014FC">
        <w:rPr>
          <w:rFonts w:ascii="Times New Roman" w:hAnsi="Times New Roman" w:cs="Times New Roman"/>
          <w:bCs/>
          <w:sz w:val="24"/>
          <w:szCs w:val="24"/>
          <w:lang w:val="uk-UA"/>
        </w:rPr>
        <w:t>3.2.5 розділу 3 Примірного договору з надання доступу до інфраструктури об’єкта електроенергетики, в яких зазначається про документування власником виявлених відхилень від проектних рішень розміщених телекомунікаційних мереж в частині габаритів, стану елементів кріплення та маркування, об’єднати в один пункт, оскільки ці положення схожі за змістом та, фактично, повторюються по тексту проекту документу.</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tabs>
          <w:tab w:val="left" w:pos="6110"/>
        </w:tabs>
        <w:spacing w:after="120" w:line="240" w:lineRule="auto"/>
        <w:ind w:firstLine="708"/>
        <w:jc w:val="both"/>
        <w:rPr>
          <w:rFonts w:ascii="Times New Roman" w:hAnsi="Times New Roman" w:cs="Times New Roman"/>
          <w:b/>
          <w:bCs/>
          <w:sz w:val="24"/>
          <w:szCs w:val="24"/>
          <w:lang w:val="uk-UA"/>
        </w:rPr>
      </w:pPr>
      <w:r w:rsidRPr="007014FC">
        <w:rPr>
          <w:rFonts w:ascii="Times New Roman" w:hAnsi="Times New Roman" w:cs="Times New Roman"/>
          <w:bCs/>
          <w:sz w:val="24"/>
          <w:szCs w:val="24"/>
          <w:lang w:val="uk-UA"/>
        </w:rPr>
        <w:t>9. У п.п. 7.5.1</w:t>
      </w:r>
      <w:r w:rsidRPr="007014FC">
        <w:rPr>
          <w:rFonts w:ascii="Times New Roman" w:hAnsi="Times New Roman" w:cs="Times New Roman"/>
          <w:sz w:val="24"/>
          <w:szCs w:val="24"/>
        </w:rPr>
        <w:t xml:space="preserve"> </w:t>
      </w:r>
      <w:r w:rsidRPr="007014FC">
        <w:rPr>
          <w:rFonts w:ascii="Times New Roman" w:hAnsi="Times New Roman" w:cs="Times New Roman"/>
          <w:sz w:val="24"/>
          <w:szCs w:val="24"/>
          <w:lang w:val="uk-UA"/>
        </w:rPr>
        <w:t xml:space="preserve">пункту 7.5 </w:t>
      </w:r>
      <w:r w:rsidRPr="007014FC">
        <w:rPr>
          <w:rFonts w:ascii="Times New Roman" w:hAnsi="Times New Roman" w:cs="Times New Roman"/>
          <w:bCs/>
          <w:sz w:val="24"/>
          <w:szCs w:val="24"/>
          <w:lang w:val="uk-UA"/>
        </w:rPr>
        <w:t>Примірних Технічних Умов з Доступу №___</w:t>
      </w:r>
      <w:r w:rsidR="00BB0D78">
        <w:rPr>
          <w:rFonts w:ascii="Times New Roman" w:hAnsi="Times New Roman" w:cs="Times New Roman"/>
          <w:bCs/>
          <w:sz w:val="24"/>
          <w:szCs w:val="24"/>
          <w:lang w:val="uk-UA"/>
        </w:rPr>
        <w:t xml:space="preserve"> </w:t>
      </w:r>
      <w:r w:rsidRPr="007014FC">
        <w:rPr>
          <w:rFonts w:ascii="Times New Roman" w:hAnsi="Times New Roman" w:cs="Times New Roman"/>
          <w:bCs/>
          <w:sz w:val="24"/>
          <w:szCs w:val="24"/>
          <w:lang w:val="uk-UA"/>
        </w:rPr>
        <w:t xml:space="preserve">з розміщення елементів телекомунікаційних мереж на елементах інфраструктури об’єкта електроенергетики потрібно конкретизувати позначення «1-го», а саме, </w:t>
      </w:r>
      <w:r w:rsidRPr="007014FC">
        <w:rPr>
          <w:rFonts w:ascii="Times New Roman" w:hAnsi="Times New Roman" w:cs="Times New Roman"/>
          <w:b/>
          <w:bCs/>
          <w:sz w:val="24"/>
          <w:szCs w:val="24"/>
          <w:lang w:val="uk-UA"/>
        </w:rPr>
        <w:t>уточнити</w:t>
      </w:r>
      <w:r w:rsidRPr="007014FC">
        <w:rPr>
          <w:rFonts w:ascii="Times New Roman" w:hAnsi="Times New Roman" w:cs="Times New Roman"/>
          <w:b/>
          <w:sz w:val="24"/>
          <w:szCs w:val="24"/>
        </w:rPr>
        <w:t xml:space="preserve"> </w:t>
      </w:r>
      <w:r w:rsidRPr="007014FC">
        <w:rPr>
          <w:rFonts w:ascii="Times New Roman" w:hAnsi="Times New Roman" w:cs="Times New Roman"/>
          <w:b/>
          <w:sz w:val="24"/>
          <w:szCs w:val="24"/>
          <w:lang w:val="uk-UA"/>
        </w:rPr>
        <w:t>та записати словами, що мається на увазі «П</w:t>
      </w:r>
      <w:r w:rsidRPr="007014FC">
        <w:rPr>
          <w:rFonts w:ascii="Times New Roman" w:hAnsi="Times New Roman" w:cs="Times New Roman"/>
          <w:b/>
          <w:bCs/>
          <w:sz w:val="24"/>
          <w:szCs w:val="24"/>
          <w:lang w:val="uk-UA"/>
        </w:rPr>
        <w:t>ершого» чи «одного».</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 xml:space="preserve"> </w:t>
      </w:r>
    </w:p>
    <w:p w:rsidR="00CF7E7A" w:rsidRPr="007014FC" w:rsidRDefault="00CF7E7A" w:rsidP="00CF7E7A">
      <w:pPr>
        <w:tabs>
          <w:tab w:val="left" w:pos="6110"/>
        </w:tabs>
        <w:spacing w:after="120" w:line="240" w:lineRule="auto"/>
        <w:ind w:firstLine="708"/>
        <w:jc w:val="both"/>
        <w:rPr>
          <w:rFonts w:ascii="Times New Roman" w:hAnsi="Times New Roman" w:cs="Times New Roman"/>
          <w:b/>
          <w:bCs/>
          <w:sz w:val="24"/>
          <w:szCs w:val="24"/>
          <w:lang w:val="uk-UA"/>
        </w:rPr>
      </w:pPr>
      <w:r w:rsidRPr="007014FC">
        <w:rPr>
          <w:rFonts w:ascii="Times New Roman" w:hAnsi="Times New Roman" w:cs="Times New Roman"/>
          <w:bCs/>
          <w:sz w:val="24"/>
          <w:szCs w:val="24"/>
          <w:lang w:val="uk-UA"/>
        </w:rPr>
        <w:t xml:space="preserve">10. У пункті 7.7 </w:t>
      </w:r>
      <w:bookmarkStart w:id="4" w:name="_Hlk503770303"/>
      <w:r w:rsidRPr="007014FC">
        <w:rPr>
          <w:rFonts w:ascii="Times New Roman" w:hAnsi="Times New Roman" w:cs="Times New Roman"/>
          <w:bCs/>
          <w:sz w:val="24"/>
          <w:szCs w:val="24"/>
          <w:lang w:val="uk-UA"/>
        </w:rPr>
        <w:t>Примірних Технічних Умов з Доступу №___</w:t>
      </w:r>
      <w:r w:rsidR="006C3BC8">
        <w:rPr>
          <w:rFonts w:ascii="Times New Roman" w:hAnsi="Times New Roman" w:cs="Times New Roman"/>
          <w:bCs/>
          <w:sz w:val="24"/>
          <w:szCs w:val="24"/>
          <w:lang w:val="uk-UA"/>
        </w:rPr>
        <w:t xml:space="preserve"> </w:t>
      </w:r>
      <w:r w:rsidRPr="007014FC">
        <w:rPr>
          <w:rFonts w:ascii="Times New Roman" w:hAnsi="Times New Roman" w:cs="Times New Roman"/>
          <w:bCs/>
          <w:sz w:val="24"/>
          <w:szCs w:val="24"/>
          <w:lang w:val="uk-UA"/>
        </w:rPr>
        <w:t xml:space="preserve">з розміщення елементів телекомунікаційних мереж на елементах інфраструктури об’єкта електроенергетики </w:t>
      </w:r>
      <w:bookmarkEnd w:id="4"/>
      <w:r w:rsidRPr="007014FC">
        <w:rPr>
          <w:rFonts w:ascii="Times New Roman" w:hAnsi="Times New Roman" w:cs="Times New Roman"/>
          <w:bCs/>
          <w:sz w:val="24"/>
          <w:szCs w:val="24"/>
          <w:lang w:val="uk-UA"/>
        </w:rPr>
        <w:t>конкретизувати , що вимоги щодо з’єднувальних муфт ТМ</w:t>
      </w:r>
      <w:r w:rsidRPr="007014FC">
        <w:rPr>
          <w:rFonts w:ascii="Times New Roman" w:hAnsi="Times New Roman" w:cs="Times New Roman"/>
          <w:b/>
          <w:bCs/>
          <w:sz w:val="24"/>
          <w:szCs w:val="24"/>
          <w:lang w:val="uk-UA"/>
        </w:rPr>
        <w:tab/>
        <w:t xml:space="preserve"> стосуються до типу муфт, але не до кількості муфт.</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11. У пункті 8</w:t>
      </w:r>
      <w:r w:rsidRPr="007014FC">
        <w:rPr>
          <w:rFonts w:ascii="Times New Roman" w:hAnsi="Times New Roman" w:cs="Times New Roman"/>
          <w:sz w:val="24"/>
          <w:szCs w:val="24"/>
          <w:lang w:val="uk-UA"/>
        </w:rPr>
        <w:t xml:space="preserve"> </w:t>
      </w:r>
      <w:r w:rsidRPr="007014FC">
        <w:rPr>
          <w:rFonts w:ascii="Times New Roman" w:hAnsi="Times New Roman" w:cs="Times New Roman"/>
          <w:bCs/>
          <w:sz w:val="24"/>
          <w:szCs w:val="24"/>
          <w:lang w:val="uk-UA"/>
        </w:rPr>
        <w:t>Примірних Технічних Умов з Доступу №___</w:t>
      </w:r>
      <w:r w:rsidR="006C3BC8">
        <w:rPr>
          <w:rFonts w:ascii="Times New Roman" w:hAnsi="Times New Roman" w:cs="Times New Roman"/>
          <w:bCs/>
          <w:sz w:val="24"/>
          <w:szCs w:val="24"/>
          <w:lang w:val="uk-UA"/>
        </w:rPr>
        <w:t xml:space="preserve"> </w:t>
      </w:r>
      <w:r w:rsidRPr="007014FC">
        <w:rPr>
          <w:rFonts w:ascii="Times New Roman" w:hAnsi="Times New Roman" w:cs="Times New Roman"/>
          <w:bCs/>
          <w:sz w:val="24"/>
          <w:szCs w:val="24"/>
          <w:lang w:val="uk-UA"/>
        </w:rPr>
        <w:t xml:space="preserve">з розміщення елементів телекомунікаційних мереж на елементах інфраструктури об’єкта електроенергетики, де зазначено, що «документація, яка передається Замовником будівництва ТМ </w:t>
      </w:r>
      <w:proofErr w:type="spellStart"/>
      <w:r w:rsidRPr="007014FC">
        <w:rPr>
          <w:rFonts w:ascii="Times New Roman" w:hAnsi="Times New Roman" w:cs="Times New Roman"/>
          <w:bCs/>
          <w:sz w:val="24"/>
          <w:szCs w:val="24"/>
          <w:lang w:val="uk-UA"/>
        </w:rPr>
        <w:t>енергопередавальній</w:t>
      </w:r>
      <w:proofErr w:type="spellEnd"/>
      <w:r w:rsidRPr="007014FC">
        <w:rPr>
          <w:rFonts w:ascii="Times New Roman" w:hAnsi="Times New Roman" w:cs="Times New Roman"/>
          <w:bCs/>
          <w:sz w:val="24"/>
          <w:szCs w:val="24"/>
          <w:lang w:val="uk-UA"/>
        </w:rPr>
        <w:t xml:space="preserve"> компанії повинна бути передана у виді «__________________» доповнити виразом: </w:t>
      </w:r>
      <w:r w:rsidRPr="007014FC">
        <w:rPr>
          <w:rFonts w:ascii="Times New Roman" w:hAnsi="Times New Roman" w:cs="Times New Roman"/>
          <w:b/>
          <w:bCs/>
          <w:sz w:val="24"/>
          <w:szCs w:val="24"/>
          <w:lang w:val="uk-UA"/>
        </w:rPr>
        <w:t>«Паперовий, електронний (потрібне підкреслити)»</w:t>
      </w:r>
      <w:r w:rsidRPr="007014FC">
        <w:rPr>
          <w:rFonts w:ascii="Times New Roman" w:hAnsi="Times New Roman" w:cs="Times New Roman"/>
          <w:bCs/>
          <w:sz w:val="24"/>
          <w:szCs w:val="24"/>
          <w:lang w:val="uk-UA"/>
        </w:rPr>
        <w:t>.</w:t>
      </w: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p>
    <w:p w:rsidR="00CF7E7A" w:rsidRPr="007014FC" w:rsidRDefault="00CF7E7A" w:rsidP="00CF7E7A">
      <w:pPr>
        <w:tabs>
          <w:tab w:val="left" w:pos="6110"/>
        </w:tabs>
        <w:spacing w:after="120" w:line="240" w:lineRule="auto"/>
        <w:ind w:firstLine="708"/>
        <w:jc w:val="both"/>
        <w:rPr>
          <w:rFonts w:ascii="Times New Roman" w:hAnsi="Times New Roman" w:cs="Times New Roman"/>
          <w:bCs/>
          <w:sz w:val="24"/>
          <w:szCs w:val="24"/>
          <w:lang w:val="uk-UA"/>
        </w:rPr>
      </w:pPr>
      <w:r w:rsidRPr="007014FC">
        <w:rPr>
          <w:rFonts w:ascii="Times New Roman" w:hAnsi="Times New Roman" w:cs="Times New Roman"/>
          <w:bCs/>
          <w:sz w:val="24"/>
          <w:szCs w:val="24"/>
          <w:lang w:val="uk-UA"/>
        </w:rPr>
        <w:t>12. Із Примірних Технічних Умов з Доступу №___</w:t>
      </w:r>
      <w:r w:rsidR="006C3BC8">
        <w:rPr>
          <w:rFonts w:ascii="Times New Roman" w:hAnsi="Times New Roman" w:cs="Times New Roman"/>
          <w:bCs/>
          <w:sz w:val="24"/>
          <w:szCs w:val="24"/>
          <w:lang w:val="uk-UA"/>
        </w:rPr>
        <w:t xml:space="preserve"> </w:t>
      </w:r>
      <w:r w:rsidRPr="007014FC">
        <w:rPr>
          <w:rFonts w:ascii="Times New Roman" w:hAnsi="Times New Roman" w:cs="Times New Roman"/>
          <w:bCs/>
          <w:sz w:val="24"/>
          <w:szCs w:val="24"/>
          <w:lang w:val="uk-UA"/>
        </w:rPr>
        <w:t xml:space="preserve">з розміщення елементів телекомунікаційних мереж на елементах інфраструктури об’єкта електроенергетики пропонується </w:t>
      </w:r>
      <w:r w:rsidRPr="007014FC">
        <w:rPr>
          <w:rFonts w:ascii="Times New Roman" w:hAnsi="Times New Roman" w:cs="Times New Roman"/>
          <w:b/>
          <w:bCs/>
          <w:sz w:val="24"/>
          <w:szCs w:val="24"/>
          <w:lang w:val="uk-UA"/>
        </w:rPr>
        <w:t>виключити пункти «12. Інші вимоги» та «13. Додатки»</w:t>
      </w:r>
      <w:r w:rsidRPr="007014FC">
        <w:rPr>
          <w:rFonts w:ascii="Times New Roman" w:hAnsi="Times New Roman" w:cs="Times New Roman"/>
          <w:bCs/>
          <w:sz w:val="24"/>
          <w:szCs w:val="24"/>
          <w:lang w:val="uk-UA"/>
        </w:rPr>
        <w:t>, оскільки, інформація, викладена у пунктах цих Примірних Технічних умов має бути максимально вичерпна. Крім цього, в даних пунктах не розкривається, яка саме інша інформація та додатки можуть зазначатись у цих пунктах документу. В противному разі, не вбачається сенсу розроблення та затвердження даного документу, як додатку до Правил надання доступу до інфраструктури об’єкта електроенергетики та затвердження відповідною постановою Кабінету Міністрів України.</w:t>
      </w:r>
      <w:bookmarkStart w:id="5" w:name="_GoBack"/>
      <w:bookmarkEnd w:id="5"/>
    </w:p>
    <w:p w:rsidR="00DA5DC4" w:rsidRDefault="00DA5DC4"/>
    <w:sectPr w:rsidR="00DA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7A"/>
    <w:rsid w:val="00460F65"/>
    <w:rsid w:val="006C3BC8"/>
    <w:rsid w:val="00BB0D78"/>
    <w:rsid w:val="00CF7E7A"/>
    <w:rsid w:val="00DA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A73A"/>
  <w15:chartTrackingRefBased/>
  <w15:docId w15:val="{669C0E65-3D0D-402F-BC6C-2951DB00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D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Секретар</cp:lastModifiedBy>
  <cp:revision>3</cp:revision>
  <cp:lastPrinted>2018-01-15T10:43:00Z</cp:lastPrinted>
  <dcterms:created xsi:type="dcterms:W3CDTF">2018-01-15T10:36:00Z</dcterms:created>
  <dcterms:modified xsi:type="dcterms:W3CDTF">2018-01-15T10:43:00Z</dcterms:modified>
</cp:coreProperties>
</file>