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53"/>
        <w:gridCol w:w="4502"/>
      </w:tblGrid>
      <w:tr w:rsidR="00C324C0" w:rsidRPr="00C324C0" w:rsidTr="00D06806">
        <w:tc>
          <w:tcPr>
            <w:tcW w:w="5353" w:type="dxa"/>
          </w:tcPr>
          <w:p w:rsidR="002207DB" w:rsidRPr="00C324C0" w:rsidRDefault="00182CDC" w:rsidP="00D068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C324C0">
              <w:rPr>
                <w:rFonts w:ascii="Times New Roman" w:hAnsi="Times New Roman"/>
                <w:b/>
                <w:noProof/>
                <w:sz w:val="32"/>
                <w:szCs w:val="32"/>
                <w:lang w:eastAsia="uk-UA"/>
              </w:rPr>
              <w:drawing>
                <wp:inline distT="0" distB="0" distL="0" distR="0">
                  <wp:extent cx="2514600" cy="84121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498" cy="846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</w:tcPr>
          <w:p w:rsidR="00D06806" w:rsidRDefault="00D06806" w:rsidP="00D068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7DB" w:rsidRPr="00D06806" w:rsidRDefault="002207DB" w:rsidP="00D068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806">
              <w:rPr>
                <w:rFonts w:ascii="Times New Roman" w:hAnsi="Times New Roman"/>
                <w:b/>
                <w:sz w:val="24"/>
                <w:szCs w:val="24"/>
              </w:rPr>
              <w:t>м. Одеса, 7-10 червня</w:t>
            </w:r>
          </w:p>
          <w:p w:rsidR="002207DB" w:rsidRPr="00D06806" w:rsidRDefault="00C320A3" w:rsidP="00D068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7" w:history="1">
              <w:r w:rsidR="00C324C0" w:rsidRPr="00D06806">
                <w:rPr>
                  <w:rStyle w:val="a8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C324C0" w:rsidRPr="00D06806">
                <w:rPr>
                  <w:rStyle w:val="a8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C324C0" w:rsidRPr="00D06806">
                <w:rPr>
                  <w:rStyle w:val="a8"/>
                  <w:rFonts w:ascii="Times New Roman" w:hAnsi="Times New Roman"/>
                  <w:b/>
                  <w:sz w:val="24"/>
                  <w:szCs w:val="24"/>
                  <w:lang w:val="en-US"/>
                </w:rPr>
                <w:t>dek</w:t>
              </w:r>
              <w:r w:rsidR="00C324C0" w:rsidRPr="00D06806">
                <w:rPr>
                  <w:rStyle w:val="a8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C324C0" w:rsidRPr="00D06806">
                <w:rPr>
                  <w:rStyle w:val="a8"/>
                  <w:rFonts w:ascii="Times New Roman" w:hAnsi="Times New Roman"/>
                  <w:b/>
                  <w:sz w:val="24"/>
                  <w:szCs w:val="24"/>
                  <w:lang w:val="en-US"/>
                </w:rPr>
                <w:t>org</w:t>
              </w:r>
              <w:r w:rsidR="00C324C0" w:rsidRPr="00D06806">
                <w:rPr>
                  <w:rStyle w:val="a8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C324C0" w:rsidRPr="00D06806">
                <w:rPr>
                  <w:rStyle w:val="a8"/>
                  <w:rFonts w:ascii="Times New Roman" w:hAnsi="Times New Roman"/>
                  <w:b/>
                  <w:sz w:val="24"/>
                  <w:szCs w:val="24"/>
                  <w:lang w:val="en-US"/>
                </w:rPr>
                <w:t>ua</w:t>
              </w:r>
            </w:hyperlink>
          </w:p>
          <w:p w:rsidR="002207DB" w:rsidRPr="00C324C0" w:rsidRDefault="002207DB" w:rsidP="00D0680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207DB" w:rsidRPr="00C324C0" w:rsidRDefault="002207DB" w:rsidP="00112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A11AA2" w:rsidRDefault="00A11AA2" w:rsidP="00A11A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Одесі </w:t>
      </w:r>
      <w:r w:rsidR="00A15385">
        <w:rPr>
          <w:rFonts w:ascii="Times New Roman" w:hAnsi="Times New Roman"/>
          <w:color w:val="000000"/>
          <w:sz w:val="24"/>
          <w:szCs w:val="24"/>
        </w:rPr>
        <w:t xml:space="preserve">продовжує </w:t>
      </w:r>
      <w:r>
        <w:rPr>
          <w:rFonts w:ascii="Times New Roman" w:hAnsi="Times New Roman"/>
          <w:color w:val="000000"/>
          <w:sz w:val="24"/>
          <w:szCs w:val="24"/>
        </w:rPr>
        <w:t xml:space="preserve">роботу </w:t>
      </w:r>
      <w:r w:rsidR="009978AD" w:rsidRPr="00A575DF">
        <w:rPr>
          <w:rFonts w:ascii="Times New Roman" w:hAnsi="Times New Roman"/>
          <w:b/>
          <w:color w:val="000000"/>
          <w:sz w:val="24"/>
          <w:szCs w:val="24"/>
        </w:rPr>
        <w:t>Перша міжнародна к</w:t>
      </w:r>
      <w:r w:rsidRPr="00A575DF">
        <w:rPr>
          <w:rFonts w:ascii="Times New Roman" w:hAnsi="Times New Roman"/>
          <w:b/>
          <w:color w:val="000000"/>
          <w:sz w:val="24"/>
          <w:szCs w:val="24"/>
        </w:rPr>
        <w:t>онференція</w:t>
      </w:r>
      <w:r w:rsidR="00E9472B" w:rsidRPr="00A575DF">
        <w:rPr>
          <w:rFonts w:ascii="Times New Roman" w:hAnsi="Times New Roman"/>
          <w:b/>
          <w:color w:val="000000"/>
          <w:sz w:val="24"/>
          <w:szCs w:val="24"/>
        </w:rPr>
        <w:t xml:space="preserve"> «Дні електронних комунікацій»</w:t>
      </w:r>
      <w:r>
        <w:rPr>
          <w:rFonts w:ascii="Times New Roman" w:hAnsi="Times New Roman"/>
          <w:color w:val="000000"/>
          <w:sz w:val="24"/>
          <w:szCs w:val="24"/>
        </w:rPr>
        <w:t xml:space="preserve">, організаторами якої виступили </w:t>
      </w:r>
      <w:r>
        <w:rPr>
          <w:rFonts w:ascii="Times New Roman" w:hAnsi="Times New Roman"/>
          <w:sz w:val="24"/>
          <w:szCs w:val="24"/>
        </w:rPr>
        <w:t xml:space="preserve">Інтернет Асоціація України (ІнАУ), Асоціація правовласників </w:t>
      </w:r>
      <w:r>
        <w:rPr>
          <w:rFonts w:ascii="Times New Roman" w:hAnsi="Times New Roman"/>
          <w:sz w:val="24"/>
          <w:szCs w:val="24"/>
        </w:rPr>
        <w:br/>
        <w:t>і постачальників контенту (АППК) і Л</w:t>
      </w:r>
      <w:r w:rsidRPr="0018777F">
        <w:rPr>
          <w:rFonts w:ascii="Times New Roman" w:hAnsi="Times New Roman"/>
          <w:sz w:val="24"/>
          <w:szCs w:val="24"/>
        </w:rPr>
        <w:t>атвійськ</w:t>
      </w:r>
      <w:r>
        <w:rPr>
          <w:rFonts w:ascii="Times New Roman" w:hAnsi="Times New Roman"/>
          <w:sz w:val="24"/>
          <w:szCs w:val="24"/>
        </w:rPr>
        <w:t>а</w:t>
      </w:r>
      <w:r w:rsidRPr="0018777F">
        <w:rPr>
          <w:rFonts w:ascii="Times New Roman" w:hAnsi="Times New Roman"/>
          <w:sz w:val="24"/>
          <w:szCs w:val="24"/>
        </w:rPr>
        <w:t xml:space="preserve"> асоціаці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18777F">
        <w:rPr>
          <w:rFonts w:ascii="Times New Roman" w:hAnsi="Times New Roman"/>
          <w:sz w:val="24"/>
          <w:szCs w:val="24"/>
        </w:rPr>
        <w:t>електронних комунікацій</w:t>
      </w:r>
      <w:r>
        <w:rPr>
          <w:rFonts w:ascii="Times New Roman" w:hAnsi="Times New Roman"/>
          <w:sz w:val="24"/>
          <w:szCs w:val="24"/>
        </w:rPr>
        <w:t>.</w:t>
      </w:r>
    </w:p>
    <w:p w:rsidR="000908A1" w:rsidRDefault="00A575DF" w:rsidP="00A5076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15385">
        <w:rPr>
          <w:rFonts w:ascii="Times New Roman" w:hAnsi="Times New Roman"/>
          <w:b/>
          <w:sz w:val="24"/>
          <w:szCs w:val="24"/>
        </w:rPr>
        <w:t>ПЕРША СЕКЦІЯ</w:t>
      </w:r>
      <w:r w:rsidR="00A15385" w:rsidRPr="00A15385">
        <w:rPr>
          <w:rFonts w:ascii="Times New Roman" w:hAnsi="Times New Roman"/>
          <w:b/>
          <w:sz w:val="24"/>
          <w:szCs w:val="24"/>
        </w:rPr>
        <w:t xml:space="preserve"> конференції присвячена </w:t>
      </w:r>
      <w:r w:rsidR="0074058A">
        <w:rPr>
          <w:rFonts w:ascii="Times New Roman" w:hAnsi="Times New Roman"/>
          <w:b/>
          <w:sz w:val="24"/>
          <w:szCs w:val="24"/>
        </w:rPr>
        <w:t xml:space="preserve">обговоренню </w:t>
      </w:r>
      <w:r w:rsidR="00A15385" w:rsidRPr="00A15385">
        <w:rPr>
          <w:rFonts w:ascii="Times New Roman" w:hAnsi="Times New Roman"/>
          <w:b/>
          <w:sz w:val="24"/>
          <w:szCs w:val="24"/>
        </w:rPr>
        <w:t>реформ в галузі телекому і медіа</w:t>
      </w:r>
      <w:r w:rsidR="00A15385" w:rsidRPr="00A15385">
        <w:rPr>
          <w:rFonts w:ascii="Times New Roman" w:hAnsi="Times New Roman"/>
          <w:sz w:val="24"/>
          <w:szCs w:val="24"/>
        </w:rPr>
        <w:t>.</w:t>
      </w:r>
      <w:r w:rsidR="00A15385">
        <w:rPr>
          <w:rFonts w:ascii="Times New Roman" w:hAnsi="Times New Roman"/>
          <w:sz w:val="24"/>
          <w:szCs w:val="24"/>
        </w:rPr>
        <w:t xml:space="preserve"> </w:t>
      </w:r>
    </w:p>
    <w:p w:rsidR="00A15385" w:rsidRDefault="000908A1" w:rsidP="00A153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Виступи Голови </w:t>
      </w:r>
      <w:r w:rsidR="005C37DA">
        <w:rPr>
          <w:rFonts w:ascii="Times New Roman" w:hAnsi="Times New Roman"/>
          <w:sz w:val="24"/>
          <w:szCs w:val="24"/>
        </w:rPr>
        <w:t>Правління</w:t>
      </w:r>
      <w:r>
        <w:rPr>
          <w:rFonts w:ascii="Times New Roman" w:hAnsi="Times New Roman"/>
          <w:sz w:val="24"/>
          <w:szCs w:val="24"/>
        </w:rPr>
        <w:t xml:space="preserve"> ІнАУ Олександра Федієнка, Голови Правління АППК Наталії Клітної, Голови Ради асоціації «Телас» Леоніда Ошерова,  З</w:t>
      </w:r>
      <w:r w:rsidRPr="000908A1">
        <w:rPr>
          <w:rFonts w:ascii="Times New Roman" w:hAnsi="Times New Roman"/>
          <w:sz w:val="24"/>
          <w:szCs w:val="24"/>
        </w:rPr>
        <w:t>аступник</w:t>
      </w:r>
      <w:r>
        <w:rPr>
          <w:rFonts w:ascii="Times New Roman" w:hAnsi="Times New Roman"/>
          <w:sz w:val="24"/>
          <w:szCs w:val="24"/>
        </w:rPr>
        <w:t>а</w:t>
      </w:r>
      <w:r w:rsidRPr="000908A1">
        <w:rPr>
          <w:rFonts w:ascii="Times New Roman" w:hAnsi="Times New Roman"/>
          <w:sz w:val="24"/>
          <w:szCs w:val="24"/>
        </w:rPr>
        <w:t xml:space="preserve"> голови Національної ради України з питань телебачення і радіомовлення Улян</w:t>
      </w:r>
      <w:r>
        <w:rPr>
          <w:rFonts w:ascii="Times New Roman" w:hAnsi="Times New Roman"/>
          <w:sz w:val="24"/>
          <w:szCs w:val="24"/>
        </w:rPr>
        <w:t>и</w:t>
      </w:r>
      <w:r w:rsidRPr="000908A1">
        <w:rPr>
          <w:rFonts w:ascii="Times New Roman" w:hAnsi="Times New Roman"/>
          <w:sz w:val="24"/>
          <w:szCs w:val="24"/>
        </w:rPr>
        <w:t xml:space="preserve"> Фещук</w:t>
      </w:r>
      <w:r>
        <w:rPr>
          <w:rFonts w:ascii="Times New Roman" w:hAnsi="Times New Roman"/>
          <w:sz w:val="24"/>
          <w:szCs w:val="24"/>
        </w:rPr>
        <w:t xml:space="preserve"> стали основою для о</w:t>
      </w:r>
      <w:r w:rsidR="00A15385">
        <w:rPr>
          <w:rFonts w:ascii="Times New Roman" w:hAnsi="Times New Roman"/>
          <w:sz w:val="24"/>
          <w:szCs w:val="24"/>
        </w:rPr>
        <w:t>бговор</w:t>
      </w:r>
      <w:r>
        <w:rPr>
          <w:rFonts w:ascii="Times New Roman" w:hAnsi="Times New Roman"/>
          <w:sz w:val="24"/>
          <w:szCs w:val="24"/>
        </w:rPr>
        <w:t xml:space="preserve">ення учасниками конференції </w:t>
      </w:r>
      <w:r w:rsidR="00A15385" w:rsidRPr="00A15385">
        <w:rPr>
          <w:rFonts w:ascii="Times New Roman" w:hAnsi="Times New Roman"/>
          <w:sz w:val="24"/>
          <w:szCs w:val="24"/>
        </w:rPr>
        <w:t>законодавч</w:t>
      </w:r>
      <w:r>
        <w:rPr>
          <w:rFonts w:ascii="Times New Roman" w:hAnsi="Times New Roman"/>
          <w:sz w:val="24"/>
          <w:szCs w:val="24"/>
        </w:rPr>
        <w:t>их</w:t>
      </w:r>
      <w:r w:rsidR="00A15385" w:rsidRPr="00A15385">
        <w:rPr>
          <w:rFonts w:ascii="Times New Roman" w:hAnsi="Times New Roman"/>
          <w:sz w:val="24"/>
          <w:szCs w:val="24"/>
        </w:rPr>
        <w:t xml:space="preserve"> новел у сфері ІКТ</w:t>
      </w:r>
      <w:r w:rsidR="00A15385">
        <w:rPr>
          <w:rFonts w:ascii="Times New Roman" w:hAnsi="Times New Roman"/>
          <w:sz w:val="24"/>
          <w:szCs w:val="24"/>
        </w:rPr>
        <w:t xml:space="preserve"> і їх вплив</w:t>
      </w:r>
      <w:r>
        <w:rPr>
          <w:rFonts w:ascii="Times New Roman" w:hAnsi="Times New Roman"/>
          <w:sz w:val="24"/>
          <w:szCs w:val="24"/>
        </w:rPr>
        <w:t>у</w:t>
      </w:r>
      <w:r w:rsidR="00A15385">
        <w:rPr>
          <w:rFonts w:ascii="Times New Roman" w:hAnsi="Times New Roman"/>
          <w:sz w:val="24"/>
          <w:szCs w:val="24"/>
        </w:rPr>
        <w:t xml:space="preserve"> на галузь, очікуван</w:t>
      </w:r>
      <w:r>
        <w:rPr>
          <w:rFonts w:ascii="Times New Roman" w:hAnsi="Times New Roman"/>
          <w:sz w:val="24"/>
          <w:szCs w:val="24"/>
        </w:rPr>
        <w:t>ь</w:t>
      </w:r>
      <w:r w:rsidR="00A15385">
        <w:rPr>
          <w:rFonts w:ascii="Times New Roman" w:hAnsi="Times New Roman"/>
          <w:sz w:val="24"/>
          <w:szCs w:val="24"/>
        </w:rPr>
        <w:t xml:space="preserve"> ринку </w:t>
      </w:r>
      <w:r w:rsidR="00A15385" w:rsidRPr="00A15385">
        <w:rPr>
          <w:rFonts w:ascii="Times New Roman" w:hAnsi="Times New Roman"/>
          <w:sz w:val="24"/>
          <w:szCs w:val="24"/>
        </w:rPr>
        <w:t xml:space="preserve">від </w:t>
      </w:r>
      <w:r w:rsidR="00A15385">
        <w:rPr>
          <w:rFonts w:ascii="Times New Roman" w:hAnsi="Times New Roman"/>
          <w:sz w:val="24"/>
          <w:szCs w:val="24"/>
        </w:rPr>
        <w:t xml:space="preserve">законопроектів </w:t>
      </w:r>
      <w:r w:rsidR="00A15385" w:rsidRPr="00A15385">
        <w:rPr>
          <w:rFonts w:ascii="Times New Roman" w:hAnsi="Times New Roman"/>
          <w:sz w:val="24"/>
          <w:szCs w:val="24"/>
        </w:rPr>
        <w:t>«Про електронні комунікації», «Про РЧР», «Про аудіовізуальні медіа-послуги»</w:t>
      </w:r>
      <w:r w:rsidR="00A15385">
        <w:rPr>
          <w:rFonts w:ascii="Times New Roman" w:hAnsi="Times New Roman"/>
          <w:sz w:val="24"/>
          <w:szCs w:val="24"/>
        </w:rPr>
        <w:t xml:space="preserve">, питання </w:t>
      </w:r>
      <w:r w:rsidR="00A15385" w:rsidRPr="00A15385">
        <w:rPr>
          <w:rFonts w:ascii="Times New Roman" w:hAnsi="Times New Roman"/>
          <w:sz w:val="24"/>
          <w:szCs w:val="24"/>
        </w:rPr>
        <w:t>збере</w:t>
      </w:r>
      <w:r w:rsidR="00A15385">
        <w:rPr>
          <w:rFonts w:ascii="Times New Roman" w:hAnsi="Times New Roman"/>
          <w:sz w:val="24"/>
          <w:szCs w:val="24"/>
        </w:rPr>
        <w:t xml:space="preserve">ження </w:t>
      </w:r>
      <w:r w:rsidR="00A15385" w:rsidRPr="00A15385">
        <w:rPr>
          <w:rFonts w:ascii="Times New Roman" w:hAnsi="Times New Roman"/>
          <w:sz w:val="24"/>
          <w:szCs w:val="24"/>
        </w:rPr>
        <w:t>європейськ</w:t>
      </w:r>
      <w:r w:rsidR="0074058A">
        <w:rPr>
          <w:rFonts w:ascii="Times New Roman" w:hAnsi="Times New Roman"/>
          <w:sz w:val="24"/>
          <w:szCs w:val="24"/>
        </w:rPr>
        <w:t>ого</w:t>
      </w:r>
      <w:r w:rsidR="00A15385" w:rsidRPr="00A15385">
        <w:rPr>
          <w:rFonts w:ascii="Times New Roman" w:hAnsi="Times New Roman"/>
          <w:sz w:val="24"/>
          <w:szCs w:val="24"/>
        </w:rPr>
        <w:t xml:space="preserve"> вектор</w:t>
      </w:r>
      <w:r w:rsidR="0074058A">
        <w:rPr>
          <w:rFonts w:ascii="Times New Roman" w:hAnsi="Times New Roman"/>
          <w:sz w:val="24"/>
          <w:szCs w:val="24"/>
        </w:rPr>
        <w:t>у</w:t>
      </w:r>
      <w:r w:rsidR="00A15385" w:rsidRPr="00A15385">
        <w:rPr>
          <w:rFonts w:ascii="Times New Roman" w:hAnsi="Times New Roman"/>
          <w:sz w:val="24"/>
          <w:szCs w:val="24"/>
        </w:rPr>
        <w:t xml:space="preserve"> реформ</w:t>
      </w:r>
      <w:r w:rsidR="0074058A">
        <w:rPr>
          <w:rFonts w:ascii="Times New Roman" w:hAnsi="Times New Roman"/>
          <w:sz w:val="24"/>
          <w:szCs w:val="24"/>
        </w:rPr>
        <w:t xml:space="preserve"> і шлях</w:t>
      </w:r>
      <w:r>
        <w:rPr>
          <w:rFonts w:ascii="Times New Roman" w:hAnsi="Times New Roman"/>
          <w:sz w:val="24"/>
          <w:szCs w:val="24"/>
        </w:rPr>
        <w:t>ів</w:t>
      </w:r>
      <w:r w:rsidR="0074058A">
        <w:rPr>
          <w:rFonts w:ascii="Times New Roman" w:hAnsi="Times New Roman"/>
          <w:sz w:val="24"/>
          <w:szCs w:val="24"/>
        </w:rPr>
        <w:t xml:space="preserve"> п</w:t>
      </w:r>
      <w:r w:rsidR="00A15385" w:rsidRPr="00A15385">
        <w:rPr>
          <w:rFonts w:ascii="Times New Roman" w:hAnsi="Times New Roman"/>
          <w:sz w:val="24"/>
          <w:szCs w:val="24"/>
        </w:rPr>
        <w:t>ротиді</w:t>
      </w:r>
      <w:r w:rsidR="0074058A">
        <w:rPr>
          <w:rFonts w:ascii="Times New Roman" w:hAnsi="Times New Roman"/>
          <w:sz w:val="24"/>
          <w:szCs w:val="24"/>
        </w:rPr>
        <w:t>ї</w:t>
      </w:r>
      <w:r w:rsidR="00A15385" w:rsidRPr="00A15385">
        <w:rPr>
          <w:rFonts w:ascii="Times New Roman" w:hAnsi="Times New Roman"/>
          <w:sz w:val="24"/>
          <w:szCs w:val="24"/>
        </w:rPr>
        <w:t xml:space="preserve"> викраденням і пошкодженням телеком-мереж в контексті національної безпеки.</w:t>
      </w:r>
    </w:p>
    <w:tbl>
      <w:tblPr>
        <w:tblStyle w:val="a3"/>
        <w:tblW w:w="0" w:type="auto"/>
        <w:tblInd w:w="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5528"/>
      </w:tblGrid>
      <w:tr w:rsidR="00A575DF" w:rsidTr="00455C68">
        <w:tc>
          <w:tcPr>
            <w:tcW w:w="2233" w:type="dxa"/>
          </w:tcPr>
          <w:p w:rsidR="00A575DF" w:rsidRPr="005A42A6" w:rsidRDefault="00A575DF" w:rsidP="00455C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F130F1A" wp14:editId="59373608">
                  <wp:extent cx="1219865" cy="1488559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358" cy="1497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A575DF" w:rsidRPr="005A42A6" w:rsidRDefault="00C277AF" w:rsidP="00C933EA">
            <w:pPr>
              <w:rPr>
                <w:rFonts w:ascii="Times New Roman" w:hAnsi="Times New Roman"/>
                <w:sz w:val="24"/>
                <w:szCs w:val="24"/>
              </w:rPr>
            </w:pPr>
            <w:r w:rsidRPr="005A42A6">
              <w:rPr>
                <w:rFonts w:ascii="Times New Roman" w:hAnsi="Times New Roman"/>
                <w:b/>
                <w:sz w:val="24"/>
                <w:szCs w:val="24"/>
              </w:rPr>
              <w:t>ОЛЕКСАНДР ФЕДІЄНКО</w:t>
            </w:r>
            <w:r w:rsidR="00A575DF" w:rsidRPr="005A42A6">
              <w:rPr>
                <w:rFonts w:ascii="Times New Roman" w:hAnsi="Times New Roman"/>
                <w:b/>
                <w:sz w:val="24"/>
                <w:szCs w:val="24"/>
              </w:rPr>
              <w:t xml:space="preserve"> щодо протидії викраденням і пошкодженням телеком-мереж</w:t>
            </w:r>
            <w:r w:rsidR="00A575DF" w:rsidRPr="005A42A6">
              <w:rPr>
                <w:rFonts w:ascii="Times New Roman" w:hAnsi="Times New Roman"/>
                <w:sz w:val="24"/>
                <w:szCs w:val="24"/>
              </w:rPr>
              <w:t>: Поки викрадення телекомунікаційного обладнання і кабелів із сфери фінансових збитків не будуть перекваліфіковані в злочини, які наносять шкоду інформаційній безпеці держави, справи не буде.</w:t>
            </w:r>
          </w:p>
        </w:tc>
      </w:tr>
    </w:tbl>
    <w:p w:rsidR="00A575DF" w:rsidRPr="00A575DF" w:rsidRDefault="00A575DF" w:rsidP="00A15385">
      <w:pPr>
        <w:jc w:val="both"/>
        <w:rPr>
          <w:rFonts w:ascii="Times New Roman" w:hAnsi="Times New Roman"/>
          <w:sz w:val="2"/>
          <w:szCs w:val="2"/>
        </w:rPr>
      </w:pPr>
    </w:p>
    <w:tbl>
      <w:tblPr>
        <w:tblStyle w:val="a3"/>
        <w:tblW w:w="0" w:type="auto"/>
        <w:tblInd w:w="2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2835"/>
      </w:tblGrid>
      <w:tr w:rsidR="00656D1F" w:rsidTr="00A575DF">
        <w:trPr>
          <w:trHeight w:val="2554"/>
        </w:trPr>
        <w:tc>
          <w:tcPr>
            <w:tcW w:w="4394" w:type="dxa"/>
          </w:tcPr>
          <w:p w:rsidR="00656D1F" w:rsidRDefault="00C277AF" w:rsidP="00A575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42A6">
              <w:rPr>
                <w:rFonts w:ascii="Times New Roman" w:hAnsi="Times New Roman"/>
                <w:b/>
                <w:sz w:val="24"/>
                <w:szCs w:val="24"/>
              </w:rPr>
              <w:t>НАТАЛІЯ КЛІТНА</w:t>
            </w:r>
            <w:r w:rsidR="005A42A6" w:rsidRPr="005A42A6">
              <w:rPr>
                <w:rFonts w:ascii="Times New Roman" w:hAnsi="Times New Roman"/>
                <w:b/>
                <w:sz w:val="24"/>
                <w:szCs w:val="24"/>
              </w:rPr>
              <w:t xml:space="preserve"> щодо європейського вектору реформ</w:t>
            </w:r>
            <w:r w:rsidR="005A42A6" w:rsidRPr="005A42A6">
              <w:rPr>
                <w:rFonts w:ascii="Times New Roman" w:hAnsi="Times New Roman"/>
                <w:sz w:val="24"/>
                <w:szCs w:val="24"/>
              </w:rPr>
              <w:t>: Існує розрив щодо розуміння європейського вектору реформ між учасниками ринку і представниками держави. Залог ліквідації цього розриву – в діалозі і співробітництві.</w:t>
            </w:r>
          </w:p>
        </w:tc>
        <w:tc>
          <w:tcPr>
            <w:tcW w:w="2835" w:type="dxa"/>
          </w:tcPr>
          <w:p w:rsidR="00656D1F" w:rsidRDefault="005A42A6" w:rsidP="005A42A6">
            <w:pPr>
              <w:rPr>
                <w:rFonts w:ascii="Times New Roman" w:hAnsi="Times New Roman"/>
                <w:sz w:val="24"/>
                <w:szCs w:val="24"/>
              </w:rPr>
            </w:pPr>
            <w:r w:rsidRPr="005A42A6">
              <w:rPr>
                <w:noProof/>
                <w:lang w:eastAsia="uk-UA"/>
              </w:rPr>
              <w:drawing>
                <wp:inline distT="0" distB="0" distL="0" distR="0" wp14:anchorId="20E03B2F" wp14:editId="46529DE3">
                  <wp:extent cx="1278890" cy="1440922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657" cy="1448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75DF" w:rsidRPr="00A575DF" w:rsidRDefault="00A575DF" w:rsidP="001C4BF6">
      <w:pPr>
        <w:jc w:val="both"/>
        <w:rPr>
          <w:rFonts w:ascii="Times New Roman" w:hAnsi="Times New Roman"/>
          <w:sz w:val="2"/>
          <w:szCs w:val="2"/>
        </w:rPr>
      </w:pPr>
    </w:p>
    <w:tbl>
      <w:tblPr>
        <w:tblStyle w:val="a3"/>
        <w:tblW w:w="0" w:type="auto"/>
        <w:tblInd w:w="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4"/>
        <w:gridCol w:w="6239"/>
      </w:tblGrid>
      <w:tr w:rsidR="00A575DF" w:rsidTr="00455C68">
        <w:trPr>
          <w:trHeight w:val="2814"/>
        </w:trPr>
        <w:tc>
          <w:tcPr>
            <w:tcW w:w="2374" w:type="dxa"/>
          </w:tcPr>
          <w:p w:rsidR="00A575DF" w:rsidRDefault="00A575DF" w:rsidP="00455C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537BC884" wp14:editId="4EC8558E">
                  <wp:extent cx="1247775" cy="1599712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637" cy="1613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9" w:type="dxa"/>
          </w:tcPr>
          <w:p w:rsidR="00A575DF" w:rsidRPr="00A575DF" w:rsidRDefault="00C277AF" w:rsidP="00A575DF">
            <w:pPr>
              <w:rPr>
                <w:rFonts w:ascii="Times New Roman" w:hAnsi="Times New Roman"/>
                <w:sz w:val="24"/>
                <w:szCs w:val="24"/>
              </w:rPr>
            </w:pPr>
            <w:r w:rsidRPr="00A575DF">
              <w:rPr>
                <w:rFonts w:ascii="Times New Roman" w:hAnsi="Times New Roman"/>
                <w:b/>
                <w:sz w:val="24"/>
                <w:szCs w:val="24"/>
              </w:rPr>
              <w:t>УЛЯНА ФЕЩУК</w:t>
            </w:r>
            <w:r w:rsidR="00A575DF" w:rsidRPr="00A575DF">
              <w:rPr>
                <w:rFonts w:ascii="Times New Roman" w:hAnsi="Times New Roman"/>
                <w:b/>
                <w:sz w:val="24"/>
                <w:szCs w:val="24"/>
              </w:rPr>
              <w:t xml:space="preserve"> щодо законопроекту про аудіовізуальні медіа-послуги: </w:t>
            </w:r>
            <w:r w:rsidR="00A575DF" w:rsidRPr="00A575DF">
              <w:rPr>
                <w:rFonts w:ascii="Times New Roman" w:hAnsi="Times New Roman"/>
                <w:sz w:val="24"/>
                <w:szCs w:val="24"/>
              </w:rPr>
              <w:t>За інформацією профільного парламентського комітету, законопроект вже розроблено і буде зареєстровано найближчим часом. Зокрема, проектом передбачено реєстраційний принцип для провайдерів програмної послуги, а також формування переліку заборонених програм, тобто замість «білого» списку буде запроваджено «чорний».</w:t>
            </w:r>
          </w:p>
        </w:tc>
      </w:tr>
    </w:tbl>
    <w:p w:rsidR="00EC5F62" w:rsidRDefault="00EC5F62" w:rsidP="00EC5F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Учасники конференції зійшлись на думці, що для забезпечення ефективного реформування галузі на основі європейського курсу України </w:t>
      </w:r>
      <w:r w:rsidRPr="00A635B4">
        <w:rPr>
          <w:rFonts w:ascii="Times New Roman" w:hAnsi="Times New Roman"/>
          <w:sz w:val="24"/>
          <w:szCs w:val="24"/>
        </w:rPr>
        <w:t>розробк</w:t>
      </w:r>
      <w:r>
        <w:rPr>
          <w:rFonts w:ascii="Times New Roman" w:hAnsi="Times New Roman"/>
          <w:sz w:val="24"/>
          <w:szCs w:val="24"/>
        </w:rPr>
        <w:t>а</w:t>
      </w:r>
      <w:r w:rsidRPr="00A635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правочинів</w:t>
      </w:r>
      <w:r w:rsidRPr="00A635B4">
        <w:rPr>
          <w:rFonts w:ascii="Times New Roman" w:hAnsi="Times New Roman"/>
          <w:sz w:val="24"/>
          <w:szCs w:val="24"/>
        </w:rPr>
        <w:t xml:space="preserve"> у сфері телекомунікацій </w:t>
      </w:r>
      <w:r>
        <w:rPr>
          <w:rFonts w:ascii="Times New Roman" w:hAnsi="Times New Roman"/>
          <w:sz w:val="24"/>
          <w:szCs w:val="24"/>
        </w:rPr>
        <w:t xml:space="preserve">і медіа має відбуватись з широким залученням </w:t>
      </w:r>
      <w:r w:rsidRPr="00A635B4">
        <w:rPr>
          <w:rFonts w:ascii="Times New Roman" w:hAnsi="Times New Roman"/>
          <w:sz w:val="24"/>
          <w:szCs w:val="24"/>
        </w:rPr>
        <w:t>представників вітчизняних суб’єктів господарювання</w:t>
      </w:r>
      <w:r>
        <w:rPr>
          <w:rFonts w:ascii="Times New Roman" w:hAnsi="Times New Roman"/>
          <w:sz w:val="24"/>
          <w:szCs w:val="24"/>
        </w:rPr>
        <w:t xml:space="preserve"> і відповідною </w:t>
      </w:r>
      <w:r w:rsidRPr="00A635B4">
        <w:rPr>
          <w:rFonts w:ascii="Times New Roman" w:hAnsi="Times New Roman"/>
          <w:sz w:val="24"/>
          <w:szCs w:val="24"/>
        </w:rPr>
        <w:t>експертиз</w:t>
      </w:r>
      <w:r>
        <w:rPr>
          <w:rFonts w:ascii="Times New Roman" w:hAnsi="Times New Roman"/>
          <w:sz w:val="24"/>
          <w:szCs w:val="24"/>
        </w:rPr>
        <w:t>ою європейських фахівців.</w:t>
      </w:r>
    </w:p>
    <w:p w:rsidR="00EC5F62" w:rsidRDefault="00EC5F62" w:rsidP="00EC5F62">
      <w:pPr>
        <w:jc w:val="both"/>
        <w:rPr>
          <w:rFonts w:ascii="Times New Roman" w:hAnsi="Times New Roman"/>
          <w:b/>
          <w:sz w:val="24"/>
          <w:szCs w:val="24"/>
        </w:rPr>
      </w:pPr>
    </w:p>
    <w:p w:rsidR="00EF1FD4" w:rsidRDefault="00EC5F62" w:rsidP="00EC5F6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ході </w:t>
      </w:r>
      <w:r w:rsidR="00A575DF">
        <w:rPr>
          <w:rFonts w:ascii="Times New Roman" w:hAnsi="Times New Roman"/>
          <w:b/>
          <w:sz w:val="24"/>
          <w:szCs w:val="24"/>
        </w:rPr>
        <w:t xml:space="preserve">ДРУГОЇ </w:t>
      </w:r>
      <w:r w:rsidR="00A575DF" w:rsidRPr="00A15385">
        <w:rPr>
          <w:rFonts w:ascii="Times New Roman" w:hAnsi="Times New Roman"/>
          <w:b/>
          <w:sz w:val="24"/>
          <w:szCs w:val="24"/>
        </w:rPr>
        <w:t>СЕКЦІ</w:t>
      </w:r>
      <w:r w:rsidR="00A575DF">
        <w:rPr>
          <w:rFonts w:ascii="Times New Roman" w:hAnsi="Times New Roman"/>
          <w:b/>
          <w:sz w:val="24"/>
          <w:szCs w:val="24"/>
        </w:rPr>
        <w:t>Ї</w:t>
      </w:r>
      <w:r>
        <w:rPr>
          <w:rFonts w:ascii="Times New Roman" w:hAnsi="Times New Roman"/>
          <w:b/>
          <w:sz w:val="24"/>
          <w:szCs w:val="24"/>
        </w:rPr>
        <w:t xml:space="preserve"> обговорювались питання </w:t>
      </w:r>
      <w:r w:rsidRPr="00EC5F62">
        <w:rPr>
          <w:rFonts w:ascii="Times New Roman" w:hAnsi="Times New Roman"/>
          <w:b/>
          <w:sz w:val="24"/>
          <w:szCs w:val="24"/>
        </w:rPr>
        <w:t>вступу в дію Закону України «Про доступ до об’єктів будівництва, транспорту, електроенергетики з метою розвитку телекомунікаційних мереж»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C5F62" w:rsidRDefault="00EC5F62" w:rsidP="006E12AC">
      <w:pPr>
        <w:jc w:val="both"/>
        <w:rPr>
          <w:rFonts w:ascii="Times New Roman" w:hAnsi="Times New Roman"/>
          <w:sz w:val="24"/>
          <w:szCs w:val="24"/>
        </w:rPr>
      </w:pPr>
      <w:r w:rsidRPr="00EC5F62">
        <w:rPr>
          <w:rFonts w:ascii="Times New Roman" w:hAnsi="Times New Roman"/>
          <w:sz w:val="24"/>
          <w:szCs w:val="24"/>
        </w:rPr>
        <w:t xml:space="preserve">Дискусія, яку вели з учасниками конференції </w:t>
      </w:r>
      <w:r w:rsidR="006E12AC">
        <w:rPr>
          <w:rFonts w:ascii="Times New Roman" w:hAnsi="Times New Roman"/>
          <w:sz w:val="24"/>
          <w:szCs w:val="24"/>
        </w:rPr>
        <w:t xml:space="preserve">голова Комітету </w:t>
      </w:r>
      <w:r w:rsidR="006E12AC" w:rsidRPr="00EC5F62">
        <w:rPr>
          <w:rFonts w:ascii="Times New Roman" w:hAnsi="Times New Roman"/>
          <w:sz w:val="24"/>
          <w:szCs w:val="24"/>
        </w:rPr>
        <w:t>ІнАУ</w:t>
      </w:r>
      <w:r w:rsidR="006E12AC" w:rsidRPr="006E12AC">
        <w:rPr>
          <w:rFonts w:ascii="Times New Roman" w:hAnsi="Times New Roman"/>
          <w:sz w:val="24"/>
          <w:szCs w:val="24"/>
        </w:rPr>
        <w:t> </w:t>
      </w:r>
      <w:r w:rsidR="006E12AC">
        <w:rPr>
          <w:rFonts w:ascii="Times New Roman" w:hAnsi="Times New Roman"/>
          <w:sz w:val="24"/>
          <w:szCs w:val="24"/>
        </w:rPr>
        <w:t xml:space="preserve">з питань доступу до інфраструктури телекомунікацій </w:t>
      </w:r>
      <w:r w:rsidR="006E12AC" w:rsidRPr="006E12AC">
        <w:rPr>
          <w:rFonts w:ascii="Times New Roman" w:hAnsi="Times New Roman"/>
          <w:sz w:val="24"/>
          <w:szCs w:val="24"/>
        </w:rPr>
        <w:t>Анатолій Пятніков</w:t>
      </w:r>
      <w:r w:rsidR="006E12AC">
        <w:rPr>
          <w:rFonts w:ascii="Times New Roman" w:hAnsi="Times New Roman"/>
          <w:sz w:val="24"/>
          <w:szCs w:val="24"/>
        </w:rPr>
        <w:t xml:space="preserve">, </w:t>
      </w:r>
      <w:r w:rsidR="006E12AC" w:rsidRPr="00EC5F62">
        <w:rPr>
          <w:rFonts w:ascii="Times New Roman" w:hAnsi="Times New Roman"/>
          <w:sz w:val="24"/>
          <w:szCs w:val="24"/>
        </w:rPr>
        <w:t>заступник директора Департаменту зв’язку НКРЗІ</w:t>
      </w:r>
      <w:r w:rsidR="006E12AC" w:rsidRPr="006E12AC">
        <w:rPr>
          <w:rFonts w:ascii="Times New Roman" w:hAnsi="Times New Roman"/>
          <w:sz w:val="24"/>
          <w:szCs w:val="24"/>
        </w:rPr>
        <w:t> Григорій Гриша</w:t>
      </w:r>
      <w:r w:rsidR="006E12AC">
        <w:rPr>
          <w:rFonts w:ascii="Times New Roman" w:hAnsi="Times New Roman"/>
          <w:sz w:val="24"/>
          <w:szCs w:val="24"/>
        </w:rPr>
        <w:t xml:space="preserve">, </w:t>
      </w:r>
      <w:r w:rsidR="006E12AC" w:rsidRPr="00EC5F62">
        <w:rPr>
          <w:rFonts w:ascii="Times New Roman" w:hAnsi="Times New Roman"/>
          <w:sz w:val="24"/>
          <w:szCs w:val="24"/>
        </w:rPr>
        <w:t>Голова Ради асоціації «Телас»</w:t>
      </w:r>
      <w:r w:rsidR="006E12AC" w:rsidRPr="006E12AC">
        <w:rPr>
          <w:rFonts w:ascii="Times New Roman" w:hAnsi="Times New Roman"/>
          <w:sz w:val="24"/>
          <w:szCs w:val="24"/>
        </w:rPr>
        <w:t> Леонід Ошеров</w:t>
      </w:r>
      <w:r w:rsidR="006E12AC">
        <w:rPr>
          <w:rFonts w:ascii="Times New Roman" w:hAnsi="Times New Roman"/>
          <w:sz w:val="24"/>
          <w:szCs w:val="24"/>
        </w:rPr>
        <w:t xml:space="preserve">, представниця АППК </w:t>
      </w:r>
      <w:r w:rsidR="006E12AC" w:rsidRPr="006E12AC">
        <w:rPr>
          <w:rFonts w:ascii="Times New Roman" w:hAnsi="Times New Roman"/>
          <w:sz w:val="24"/>
          <w:szCs w:val="24"/>
        </w:rPr>
        <w:t>Світлана Юревич</w:t>
      </w:r>
      <w:r w:rsidR="006E12AC">
        <w:rPr>
          <w:rFonts w:ascii="Times New Roman" w:hAnsi="Times New Roman"/>
          <w:sz w:val="24"/>
          <w:szCs w:val="24"/>
        </w:rPr>
        <w:t xml:space="preserve"> стосувалась о</w:t>
      </w:r>
      <w:r w:rsidRPr="00EC5F62">
        <w:rPr>
          <w:rFonts w:ascii="Times New Roman" w:hAnsi="Times New Roman"/>
          <w:sz w:val="24"/>
          <w:szCs w:val="24"/>
        </w:rPr>
        <w:t>собливост</w:t>
      </w:r>
      <w:r w:rsidR="006E12AC">
        <w:rPr>
          <w:rFonts w:ascii="Times New Roman" w:hAnsi="Times New Roman"/>
          <w:sz w:val="24"/>
          <w:szCs w:val="24"/>
        </w:rPr>
        <w:t>ей</w:t>
      </w:r>
      <w:r w:rsidR="00BB5CDF">
        <w:rPr>
          <w:rFonts w:ascii="Times New Roman" w:hAnsi="Times New Roman"/>
          <w:sz w:val="24"/>
          <w:szCs w:val="24"/>
        </w:rPr>
        <w:t xml:space="preserve"> імплементації закону п</w:t>
      </w:r>
      <w:r w:rsidRPr="00EC5F62">
        <w:rPr>
          <w:rFonts w:ascii="Times New Roman" w:hAnsi="Times New Roman"/>
          <w:sz w:val="24"/>
          <w:szCs w:val="24"/>
        </w:rPr>
        <w:t>ро доступ</w:t>
      </w:r>
      <w:r w:rsidR="00BB5CDF">
        <w:rPr>
          <w:rFonts w:ascii="Times New Roman" w:hAnsi="Times New Roman"/>
          <w:sz w:val="24"/>
          <w:szCs w:val="24"/>
        </w:rPr>
        <w:t xml:space="preserve"> до інфраструктури</w:t>
      </w:r>
      <w:r w:rsidR="006E12AC">
        <w:rPr>
          <w:rFonts w:ascii="Times New Roman" w:hAnsi="Times New Roman"/>
          <w:sz w:val="24"/>
          <w:szCs w:val="24"/>
        </w:rPr>
        <w:t xml:space="preserve">, </w:t>
      </w:r>
      <w:r w:rsidRPr="00EC5F62">
        <w:rPr>
          <w:rFonts w:ascii="Times New Roman" w:hAnsi="Times New Roman"/>
          <w:sz w:val="24"/>
          <w:szCs w:val="24"/>
        </w:rPr>
        <w:t>першочергов</w:t>
      </w:r>
      <w:r w:rsidR="006E12AC">
        <w:rPr>
          <w:rFonts w:ascii="Times New Roman" w:hAnsi="Times New Roman"/>
          <w:sz w:val="24"/>
          <w:szCs w:val="24"/>
        </w:rPr>
        <w:t>их</w:t>
      </w:r>
      <w:r w:rsidRPr="00EC5F62">
        <w:rPr>
          <w:rFonts w:ascii="Times New Roman" w:hAnsi="Times New Roman"/>
          <w:sz w:val="24"/>
          <w:szCs w:val="24"/>
        </w:rPr>
        <w:t xml:space="preserve"> крок</w:t>
      </w:r>
      <w:r w:rsidR="006E12AC">
        <w:rPr>
          <w:rFonts w:ascii="Times New Roman" w:hAnsi="Times New Roman"/>
          <w:sz w:val="24"/>
          <w:szCs w:val="24"/>
        </w:rPr>
        <w:t>ів</w:t>
      </w:r>
      <w:r w:rsidRPr="00EC5F62">
        <w:rPr>
          <w:rFonts w:ascii="Times New Roman" w:hAnsi="Times New Roman"/>
          <w:sz w:val="24"/>
          <w:szCs w:val="24"/>
        </w:rPr>
        <w:t xml:space="preserve"> операторів щодо взаємодії з обленерго, місцевою владою та ПАТ «Укртелеком», завдан</w:t>
      </w:r>
      <w:r w:rsidR="006E12AC">
        <w:rPr>
          <w:rFonts w:ascii="Times New Roman" w:hAnsi="Times New Roman"/>
          <w:sz w:val="24"/>
          <w:szCs w:val="24"/>
        </w:rPr>
        <w:t>ь</w:t>
      </w:r>
      <w:r w:rsidRPr="00EC5F62">
        <w:rPr>
          <w:rFonts w:ascii="Times New Roman" w:hAnsi="Times New Roman"/>
          <w:sz w:val="24"/>
          <w:szCs w:val="24"/>
        </w:rPr>
        <w:t xml:space="preserve"> для галузі з розробки нормативних документів </w:t>
      </w:r>
      <w:r w:rsidR="006E12AC">
        <w:rPr>
          <w:rFonts w:ascii="Times New Roman" w:hAnsi="Times New Roman"/>
          <w:sz w:val="24"/>
          <w:szCs w:val="24"/>
        </w:rPr>
        <w:t>та</w:t>
      </w:r>
      <w:r w:rsidRPr="00EC5F62">
        <w:rPr>
          <w:rFonts w:ascii="Times New Roman" w:hAnsi="Times New Roman"/>
          <w:sz w:val="24"/>
          <w:szCs w:val="24"/>
        </w:rPr>
        <w:t xml:space="preserve"> інш</w:t>
      </w:r>
      <w:r w:rsidR="006E12AC">
        <w:rPr>
          <w:rFonts w:ascii="Times New Roman" w:hAnsi="Times New Roman"/>
          <w:sz w:val="24"/>
          <w:szCs w:val="24"/>
        </w:rPr>
        <w:t>их</w:t>
      </w:r>
      <w:r w:rsidRPr="00EC5F62">
        <w:rPr>
          <w:rFonts w:ascii="Times New Roman" w:hAnsi="Times New Roman"/>
          <w:sz w:val="24"/>
          <w:szCs w:val="24"/>
        </w:rPr>
        <w:t xml:space="preserve"> проблемн</w:t>
      </w:r>
      <w:r w:rsidR="006E12AC">
        <w:rPr>
          <w:rFonts w:ascii="Times New Roman" w:hAnsi="Times New Roman"/>
          <w:sz w:val="24"/>
          <w:szCs w:val="24"/>
        </w:rPr>
        <w:t>их</w:t>
      </w:r>
      <w:r w:rsidRPr="00EC5F62">
        <w:rPr>
          <w:rFonts w:ascii="Times New Roman" w:hAnsi="Times New Roman"/>
          <w:sz w:val="24"/>
          <w:szCs w:val="24"/>
        </w:rPr>
        <w:t xml:space="preserve"> питан</w:t>
      </w:r>
      <w:r w:rsidR="006E12AC">
        <w:rPr>
          <w:rFonts w:ascii="Times New Roman" w:hAnsi="Times New Roman"/>
          <w:sz w:val="24"/>
          <w:szCs w:val="24"/>
        </w:rPr>
        <w:t>ь</w:t>
      </w:r>
      <w:r w:rsidRPr="00EC5F62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</w:tblGrid>
      <w:tr w:rsidR="00455C68" w:rsidTr="00A50764">
        <w:tc>
          <w:tcPr>
            <w:tcW w:w="2660" w:type="dxa"/>
          </w:tcPr>
          <w:p w:rsidR="00455C68" w:rsidRDefault="00455C68" w:rsidP="00455C6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29ACD8A" wp14:editId="57CBD48A">
                  <wp:extent cx="1291168" cy="15240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95" cy="152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455C68" w:rsidRDefault="00C277AF" w:rsidP="00455C68">
            <w:pPr>
              <w:rPr>
                <w:rFonts w:ascii="Times New Roman" w:hAnsi="Times New Roman"/>
                <w:sz w:val="24"/>
                <w:szCs w:val="24"/>
              </w:rPr>
            </w:pPr>
            <w:r w:rsidRPr="00A575DF">
              <w:rPr>
                <w:rFonts w:ascii="Times New Roman" w:hAnsi="Times New Roman"/>
                <w:b/>
                <w:sz w:val="24"/>
                <w:szCs w:val="24"/>
              </w:rPr>
              <w:t>ЛЕОНІД ОШЕРОВ</w:t>
            </w:r>
            <w:r w:rsidR="00455C68" w:rsidRPr="00A575DF">
              <w:rPr>
                <w:rFonts w:ascii="Times New Roman" w:hAnsi="Times New Roman"/>
                <w:b/>
                <w:sz w:val="24"/>
                <w:szCs w:val="24"/>
              </w:rPr>
              <w:t xml:space="preserve"> щодо подальших завдань</w:t>
            </w:r>
            <w:r w:rsidR="00455C68" w:rsidRPr="00A575DF">
              <w:rPr>
                <w:rFonts w:ascii="Times New Roman" w:hAnsi="Times New Roman"/>
                <w:sz w:val="24"/>
                <w:szCs w:val="24"/>
              </w:rPr>
              <w:t>: Закон про доступ до інфраструктури є важливим надбанням галузі телекомунікацій. Тепер наше спільне завдання – завершити роботу з напрацювання правил і методик відповідно до закону.</w:t>
            </w:r>
          </w:p>
          <w:p w:rsidR="00455C68" w:rsidRDefault="00455C68" w:rsidP="00C9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455C68" w:rsidRPr="00455C68" w:rsidRDefault="00455C68" w:rsidP="006E12AC">
      <w:pPr>
        <w:jc w:val="both"/>
        <w:rPr>
          <w:rFonts w:ascii="Times New Roman" w:hAnsi="Times New Roman"/>
          <w:sz w:val="2"/>
          <w:szCs w:val="2"/>
        </w:rPr>
      </w:pPr>
    </w:p>
    <w:tbl>
      <w:tblPr>
        <w:tblStyle w:val="a3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085"/>
      </w:tblGrid>
      <w:tr w:rsidR="00A575DF" w:rsidTr="00A50764">
        <w:tc>
          <w:tcPr>
            <w:tcW w:w="5245" w:type="dxa"/>
          </w:tcPr>
          <w:p w:rsidR="00A575DF" w:rsidRDefault="00C277AF" w:rsidP="00455C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75D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АНАТОЛІЙ ПЯТНІКОВ</w:t>
            </w:r>
            <w:r w:rsidR="00455C68" w:rsidRPr="00A575D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щодо переваг від впровадження закону про доступ до інфраструктури: </w:t>
            </w:r>
            <w:r w:rsidR="00A5076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</w:t>
            </w:r>
            <w:r w:rsidR="00455C68" w:rsidRPr="00A575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араз </w:t>
            </w:r>
            <w:r w:rsidR="00A5076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з’явилась</w:t>
            </w:r>
            <w:r w:rsidR="00455C68" w:rsidRPr="00A575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чітка процедура по відповідальності і строкам по взаємодії з енергетиками, що дозволяє планувати будівництво телекомунікаційних мереж.</w:t>
            </w:r>
          </w:p>
        </w:tc>
        <w:tc>
          <w:tcPr>
            <w:tcW w:w="3085" w:type="dxa"/>
          </w:tcPr>
          <w:p w:rsidR="00A575DF" w:rsidRDefault="00455C68" w:rsidP="006E1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0D2910A1" wp14:editId="19B2FC27">
                  <wp:extent cx="1447837" cy="15525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588" cy="1558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75DF" w:rsidRPr="00455C68" w:rsidRDefault="00A575DF" w:rsidP="006E12AC">
      <w:pPr>
        <w:jc w:val="both"/>
        <w:rPr>
          <w:rFonts w:ascii="Times New Roman" w:hAnsi="Times New Roman"/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A575DF" w:rsidRPr="00A575DF" w:rsidTr="00A50764">
        <w:tc>
          <w:tcPr>
            <w:tcW w:w="2660" w:type="dxa"/>
          </w:tcPr>
          <w:p w:rsidR="00A575DF" w:rsidRPr="00A575DF" w:rsidRDefault="00455C68" w:rsidP="00455C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A187030" wp14:editId="27B259FF">
                  <wp:extent cx="1448568" cy="145666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105" cy="1463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A575DF" w:rsidRPr="00A575DF" w:rsidRDefault="00C277AF" w:rsidP="00455C6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5D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ГРИГОРІЙ ГРИША</w:t>
            </w:r>
            <w:r w:rsidR="00455C68" w:rsidRPr="00A575D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щодо правил доступу до ККЕ: </w:t>
            </w:r>
            <w:r w:rsidR="00455C68" w:rsidRPr="00A575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НКРЗІ попереду всіх у опрацюванні своєї частини документів відповідно до закону про доступ. Ми врахували  зауваження представників ринку в проекті правил надання доступу до інфраструктури ККЕ і до кінця місяця плануємо винести документ на засідання Комісії з наступним виставленням на громадське обговорення. Чекаємо від операторів і асоціацій пропозицій щодо складення аналізу регуляторного впливу. </w:t>
            </w:r>
          </w:p>
        </w:tc>
      </w:tr>
    </w:tbl>
    <w:p w:rsidR="00A575DF" w:rsidRDefault="00A575DF" w:rsidP="00002C30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F203DD" w:rsidRDefault="00A575DF" w:rsidP="00BB5CDF">
      <w:pPr>
        <w:jc w:val="both"/>
        <w:rPr>
          <w:rFonts w:ascii="Times New Roman" w:hAnsi="Times New Roman"/>
          <w:b/>
          <w:sz w:val="24"/>
          <w:szCs w:val="24"/>
        </w:rPr>
      </w:pPr>
      <w:r w:rsidRPr="00F203DD">
        <w:rPr>
          <w:rFonts w:ascii="Times New Roman" w:hAnsi="Times New Roman"/>
          <w:b/>
          <w:sz w:val="24"/>
          <w:szCs w:val="24"/>
        </w:rPr>
        <w:t>ТРЕТЯ СЕКЦІ</w:t>
      </w:r>
      <w:r>
        <w:rPr>
          <w:rFonts w:ascii="Times New Roman" w:hAnsi="Times New Roman"/>
          <w:b/>
          <w:sz w:val="24"/>
          <w:szCs w:val="24"/>
        </w:rPr>
        <w:t>Я</w:t>
      </w:r>
      <w:r w:rsidR="00BB5CDF" w:rsidRPr="00F203DD">
        <w:rPr>
          <w:rFonts w:ascii="Times New Roman" w:hAnsi="Times New Roman"/>
          <w:b/>
          <w:sz w:val="24"/>
          <w:szCs w:val="24"/>
        </w:rPr>
        <w:t xml:space="preserve"> бу</w:t>
      </w:r>
      <w:r w:rsidR="00F203DD" w:rsidRPr="00F203DD">
        <w:rPr>
          <w:rFonts w:ascii="Times New Roman" w:hAnsi="Times New Roman"/>
          <w:b/>
          <w:sz w:val="24"/>
          <w:szCs w:val="24"/>
        </w:rPr>
        <w:t>ла</w:t>
      </w:r>
      <w:r w:rsidR="00BB5CDF" w:rsidRPr="00F203DD">
        <w:rPr>
          <w:rFonts w:ascii="Times New Roman" w:hAnsi="Times New Roman"/>
          <w:b/>
          <w:sz w:val="24"/>
          <w:szCs w:val="24"/>
        </w:rPr>
        <w:t xml:space="preserve"> організована під брендом </w:t>
      </w:r>
      <w:r w:rsidR="00BB5CDF" w:rsidRPr="00F203DD">
        <w:rPr>
          <w:rFonts w:ascii="Times New Roman" w:hAnsi="Times New Roman"/>
          <w:b/>
          <w:sz w:val="24"/>
          <w:szCs w:val="24"/>
          <w:lang w:val="en-US"/>
        </w:rPr>
        <w:t>Astr</w:t>
      </w:r>
      <w:r w:rsidR="00F203DD" w:rsidRPr="00F203DD">
        <w:rPr>
          <w:rFonts w:ascii="Times New Roman" w:hAnsi="Times New Roman"/>
          <w:b/>
          <w:sz w:val="24"/>
          <w:szCs w:val="24"/>
          <w:lang w:val="en-US"/>
        </w:rPr>
        <w:t>o</w:t>
      </w:r>
      <w:r w:rsidR="00F203DD">
        <w:rPr>
          <w:rFonts w:ascii="Times New Roman" w:hAnsi="Times New Roman"/>
          <w:b/>
          <w:sz w:val="24"/>
          <w:szCs w:val="24"/>
        </w:rPr>
        <w:t xml:space="preserve">. </w:t>
      </w:r>
    </w:p>
    <w:p w:rsidR="00BB5CDF" w:rsidRPr="00F203DD" w:rsidRDefault="00F203DD" w:rsidP="00002C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03DD">
        <w:rPr>
          <w:rFonts w:ascii="Times New Roman" w:hAnsi="Times New Roman"/>
          <w:sz w:val="24"/>
          <w:szCs w:val="24"/>
        </w:rPr>
        <w:t>Те</w:t>
      </w:r>
      <w:r w:rsidR="00BB5CDF" w:rsidRPr="00F203DD">
        <w:rPr>
          <w:rFonts w:ascii="Times New Roman" w:hAnsi="Times New Roman"/>
          <w:sz w:val="24"/>
          <w:szCs w:val="24"/>
        </w:rPr>
        <w:t>хнологічни</w:t>
      </w:r>
      <w:r w:rsidRPr="00F203DD">
        <w:rPr>
          <w:rFonts w:ascii="Times New Roman" w:hAnsi="Times New Roman"/>
          <w:sz w:val="24"/>
          <w:szCs w:val="24"/>
        </w:rPr>
        <w:t>м</w:t>
      </w:r>
      <w:r w:rsidR="00BB5CDF" w:rsidRPr="00F203DD">
        <w:rPr>
          <w:rFonts w:ascii="Times New Roman" w:hAnsi="Times New Roman"/>
          <w:sz w:val="24"/>
          <w:szCs w:val="24"/>
        </w:rPr>
        <w:t xml:space="preserve"> новаці</w:t>
      </w:r>
      <w:r w:rsidR="005C37DA">
        <w:rPr>
          <w:rFonts w:ascii="Times New Roman" w:hAnsi="Times New Roman"/>
          <w:sz w:val="24"/>
          <w:szCs w:val="24"/>
        </w:rPr>
        <w:t>ям</w:t>
      </w:r>
      <w:r w:rsidR="00BB5CDF" w:rsidRPr="00F203DD">
        <w:rPr>
          <w:rFonts w:ascii="Times New Roman" w:hAnsi="Times New Roman"/>
          <w:sz w:val="24"/>
          <w:szCs w:val="24"/>
        </w:rPr>
        <w:t xml:space="preserve"> для розвитку бізнесу операторів телекомунікацій</w:t>
      </w:r>
      <w:r w:rsidRPr="00F203DD">
        <w:rPr>
          <w:rFonts w:ascii="Times New Roman" w:hAnsi="Times New Roman"/>
          <w:sz w:val="24"/>
          <w:szCs w:val="24"/>
        </w:rPr>
        <w:t xml:space="preserve"> було присвячено ряд виступів </w:t>
      </w:r>
      <w:r w:rsidR="005C37DA" w:rsidRPr="00F203DD">
        <w:rPr>
          <w:rFonts w:ascii="Times New Roman" w:hAnsi="Times New Roman"/>
          <w:sz w:val="24"/>
          <w:szCs w:val="24"/>
        </w:rPr>
        <w:t>представників</w:t>
      </w:r>
      <w:r w:rsidRPr="00F203DD">
        <w:rPr>
          <w:rFonts w:ascii="Times New Roman" w:hAnsi="Times New Roman"/>
          <w:sz w:val="24"/>
          <w:szCs w:val="24"/>
        </w:rPr>
        <w:t xml:space="preserve"> Astro Strobel GmbH Germann Geer і партнерів компанії</w:t>
      </w:r>
      <w:r>
        <w:rPr>
          <w:rFonts w:ascii="Times New Roman" w:hAnsi="Times New Roman"/>
          <w:sz w:val="24"/>
          <w:szCs w:val="24"/>
        </w:rPr>
        <w:t xml:space="preserve"> з таких питань:</w:t>
      </w:r>
    </w:p>
    <w:p w:rsidR="00F203DD" w:rsidRPr="00E82B88" w:rsidRDefault="00F203DD" w:rsidP="00E82B88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82B88">
        <w:rPr>
          <w:rFonts w:ascii="Times New Roman" w:hAnsi="Times New Roman"/>
          <w:sz w:val="24"/>
          <w:szCs w:val="24"/>
        </w:rPr>
        <w:t>Сучасний розвиток європейських операторів на прикладі проектів компанії Astro Strobel GmbH;</w:t>
      </w:r>
    </w:p>
    <w:p w:rsidR="00F203DD" w:rsidRPr="00E82B88" w:rsidRDefault="00F203DD" w:rsidP="00E82B88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82B88">
        <w:rPr>
          <w:rFonts w:ascii="Times New Roman" w:hAnsi="Times New Roman"/>
          <w:sz w:val="24"/>
          <w:szCs w:val="24"/>
        </w:rPr>
        <w:t>IP головні станції. IP-PAL / QAM / COFDM / FM; «Техніка головних станцій.  Нові бюджетні IP-PAL рішення;</w:t>
      </w:r>
    </w:p>
    <w:p w:rsidR="00F203DD" w:rsidRPr="00E82B88" w:rsidRDefault="00F203DD" w:rsidP="00E82B88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82B88">
        <w:rPr>
          <w:rFonts w:ascii="Times New Roman" w:hAnsi="Times New Roman"/>
          <w:sz w:val="24"/>
          <w:szCs w:val="24"/>
        </w:rPr>
        <w:lastRenderedPageBreak/>
        <w:t>Оптичне обладнання. Від оптичних передавачів та підсилювачів до приймачів;</w:t>
      </w:r>
    </w:p>
    <w:p w:rsidR="00F203DD" w:rsidRPr="00E82B88" w:rsidRDefault="00F203DD" w:rsidP="00E82B88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82B88">
        <w:rPr>
          <w:rFonts w:ascii="Times New Roman" w:hAnsi="Times New Roman"/>
          <w:sz w:val="24"/>
          <w:szCs w:val="24"/>
        </w:rPr>
        <w:t xml:space="preserve">Вимірювальне обладнання компанії KWS; </w:t>
      </w:r>
    </w:p>
    <w:p w:rsidR="00F203DD" w:rsidRPr="00E82B88" w:rsidRDefault="00F203DD" w:rsidP="00E82B88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82B88">
        <w:rPr>
          <w:rFonts w:ascii="Times New Roman" w:hAnsi="Times New Roman"/>
          <w:sz w:val="24"/>
          <w:szCs w:val="24"/>
        </w:rPr>
        <w:t>PON рішення. Організація доставки інтернет-послуг, ТВ-сигналу і медіа-контенту в PON мережах;</w:t>
      </w:r>
    </w:p>
    <w:p w:rsidR="00F203DD" w:rsidRPr="00E82B88" w:rsidRDefault="00F203DD" w:rsidP="00E82B88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82B88">
        <w:rPr>
          <w:rFonts w:ascii="Times New Roman" w:hAnsi="Times New Roman"/>
          <w:sz w:val="24"/>
          <w:szCs w:val="24"/>
        </w:rPr>
        <w:t>Обладнання Fiber Fox для проведення зварювання оптичних волокон;</w:t>
      </w:r>
    </w:p>
    <w:p w:rsidR="00E82B88" w:rsidRPr="00E82B88" w:rsidRDefault="00F203DD" w:rsidP="00E82B88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82B88">
        <w:rPr>
          <w:rFonts w:ascii="Times New Roman" w:hAnsi="Times New Roman"/>
          <w:sz w:val="24"/>
          <w:szCs w:val="24"/>
        </w:rPr>
        <w:t>Обладнання для побудови волоконно-оптичних мереж</w:t>
      </w:r>
    </w:p>
    <w:p w:rsidR="00F203DD" w:rsidRPr="00E82B88" w:rsidRDefault="00F203DD" w:rsidP="00E82B88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82B88">
        <w:rPr>
          <w:rFonts w:ascii="Times New Roman" w:hAnsi="Times New Roman"/>
          <w:sz w:val="24"/>
          <w:szCs w:val="24"/>
        </w:rPr>
        <w:t>Новинки виставок CEBIT, CCBN, ANGA 2017.</w:t>
      </w:r>
    </w:p>
    <w:p w:rsidR="00A50764" w:rsidRDefault="00A50764" w:rsidP="00BE316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494949"/>
          <w:sz w:val="24"/>
          <w:szCs w:val="24"/>
          <w:lang w:eastAsia="uk-UA"/>
        </w:rPr>
      </w:pPr>
    </w:p>
    <w:p w:rsidR="00BE3161" w:rsidRDefault="00A50764" w:rsidP="00BE316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Cs/>
          <w:color w:val="494949"/>
          <w:sz w:val="24"/>
          <w:szCs w:val="24"/>
          <w:lang w:eastAsia="uk-UA"/>
        </w:rPr>
      </w:pPr>
      <w:r w:rsidRPr="00BF6B47">
        <w:rPr>
          <w:rFonts w:ascii="Times New Roman" w:eastAsia="Times New Roman" w:hAnsi="Times New Roman"/>
          <w:b/>
          <w:bCs/>
          <w:color w:val="494949"/>
          <w:sz w:val="24"/>
          <w:szCs w:val="24"/>
          <w:lang w:eastAsia="uk-UA"/>
        </w:rPr>
        <w:t>ЧЕТВЕРТА СЕКЦІЯ</w:t>
      </w:r>
      <w:r w:rsidR="00BF6B47" w:rsidRPr="00BF6B47">
        <w:rPr>
          <w:rFonts w:ascii="Times New Roman" w:eastAsia="Times New Roman" w:hAnsi="Times New Roman"/>
          <w:b/>
          <w:bCs/>
          <w:color w:val="494949"/>
          <w:sz w:val="24"/>
          <w:szCs w:val="24"/>
          <w:lang w:eastAsia="uk-UA"/>
        </w:rPr>
        <w:t xml:space="preserve"> завершила перший день конференції</w:t>
      </w:r>
      <w:r w:rsidR="00BE3161" w:rsidRPr="00BF6B47">
        <w:rPr>
          <w:rFonts w:ascii="Times New Roman" w:eastAsia="Times New Roman" w:hAnsi="Times New Roman"/>
          <w:b/>
          <w:bCs/>
          <w:color w:val="494949"/>
          <w:sz w:val="24"/>
          <w:szCs w:val="24"/>
          <w:lang w:eastAsia="uk-UA"/>
        </w:rPr>
        <w:t>. </w:t>
      </w:r>
      <w:r w:rsidR="00BF6B47" w:rsidRPr="00BF6B47">
        <w:rPr>
          <w:rFonts w:ascii="Times New Roman" w:eastAsia="Times New Roman" w:hAnsi="Times New Roman"/>
          <w:b/>
          <w:bCs/>
          <w:color w:val="494949"/>
          <w:sz w:val="24"/>
          <w:szCs w:val="24"/>
          <w:lang w:eastAsia="uk-UA"/>
        </w:rPr>
        <w:t xml:space="preserve">Її тема - </w:t>
      </w:r>
      <w:r w:rsidR="00BE3161" w:rsidRPr="00BF6B47">
        <w:rPr>
          <w:rFonts w:ascii="Times New Roman" w:eastAsia="Times New Roman" w:hAnsi="Times New Roman"/>
          <w:b/>
          <w:bCs/>
          <w:iCs/>
          <w:color w:val="494949"/>
          <w:sz w:val="24"/>
          <w:szCs w:val="24"/>
          <w:lang w:eastAsia="uk-UA"/>
        </w:rPr>
        <w:t>Нагляд, якість, звітність</w:t>
      </w:r>
      <w:r w:rsidR="00BF6B47" w:rsidRPr="00BF6B47">
        <w:rPr>
          <w:rFonts w:ascii="Times New Roman" w:eastAsia="Times New Roman" w:hAnsi="Times New Roman"/>
          <w:b/>
          <w:bCs/>
          <w:iCs/>
          <w:color w:val="494949"/>
          <w:sz w:val="24"/>
          <w:szCs w:val="24"/>
          <w:lang w:eastAsia="uk-UA"/>
        </w:rPr>
        <w:t>, д</w:t>
      </w:r>
      <w:r w:rsidR="00BE3161" w:rsidRPr="00BF6B47">
        <w:rPr>
          <w:rFonts w:ascii="Times New Roman" w:eastAsia="Times New Roman" w:hAnsi="Times New Roman"/>
          <w:b/>
          <w:bCs/>
          <w:iCs/>
          <w:color w:val="494949"/>
          <w:sz w:val="24"/>
          <w:szCs w:val="24"/>
          <w:lang w:eastAsia="uk-UA"/>
        </w:rPr>
        <w:t>ержава як гарант забезпечення балансу інтересів користувачів та операторів телекомунікацій.</w:t>
      </w:r>
    </w:p>
    <w:p w:rsidR="00A50764" w:rsidRDefault="00A50764" w:rsidP="00A5076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color w:val="494949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Cs/>
          <w:iCs/>
          <w:color w:val="494949"/>
          <w:sz w:val="24"/>
          <w:szCs w:val="24"/>
          <w:lang w:eastAsia="uk-UA"/>
        </w:rPr>
        <w:t xml:space="preserve">В ході </w:t>
      </w:r>
      <w:r w:rsidRPr="00A50764">
        <w:rPr>
          <w:rFonts w:ascii="Times New Roman" w:eastAsia="Times New Roman" w:hAnsi="Times New Roman"/>
          <w:bCs/>
          <w:iCs/>
          <w:color w:val="494949"/>
          <w:sz w:val="24"/>
          <w:szCs w:val="24"/>
          <w:lang w:eastAsia="uk-UA"/>
        </w:rPr>
        <w:t>обговорення</w:t>
      </w:r>
      <w:r>
        <w:rPr>
          <w:rFonts w:ascii="Times New Roman" w:eastAsia="Times New Roman" w:hAnsi="Times New Roman"/>
          <w:bCs/>
          <w:iCs/>
          <w:color w:val="494949"/>
          <w:sz w:val="24"/>
          <w:szCs w:val="24"/>
          <w:lang w:eastAsia="uk-UA"/>
        </w:rPr>
        <w:t xml:space="preserve"> питань блокування доступу до інтернет-ресурсів</w:t>
      </w:r>
      <w:r w:rsidRPr="00A50764">
        <w:rPr>
          <w:rFonts w:ascii="Times New Roman" w:eastAsia="Times New Roman" w:hAnsi="Times New Roman"/>
          <w:bCs/>
          <w:iCs/>
          <w:color w:val="494949"/>
          <w:sz w:val="24"/>
          <w:szCs w:val="24"/>
          <w:lang w:eastAsia="uk-UA"/>
        </w:rPr>
        <w:t>, шлях</w:t>
      </w:r>
      <w:r>
        <w:rPr>
          <w:rFonts w:ascii="Times New Roman" w:eastAsia="Times New Roman" w:hAnsi="Times New Roman"/>
          <w:bCs/>
          <w:iCs/>
          <w:color w:val="494949"/>
          <w:sz w:val="24"/>
          <w:szCs w:val="24"/>
          <w:lang w:eastAsia="uk-UA"/>
        </w:rPr>
        <w:t>ів</w:t>
      </w:r>
      <w:r w:rsidRPr="00A50764">
        <w:rPr>
          <w:rFonts w:ascii="Times New Roman" w:eastAsia="Times New Roman" w:hAnsi="Times New Roman"/>
          <w:bCs/>
          <w:iCs/>
          <w:color w:val="494949"/>
          <w:sz w:val="24"/>
          <w:szCs w:val="24"/>
          <w:lang w:eastAsia="uk-UA"/>
        </w:rPr>
        <w:t xml:space="preserve"> спрямування репресивного апарату держави від легальних гравців до нелегалів, </w:t>
      </w:r>
      <w:r>
        <w:rPr>
          <w:rFonts w:ascii="Times New Roman" w:eastAsia="Times New Roman" w:hAnsi="Times New Roman"/>
          <w:bCs/>
          <w:iCs/>
          <w:color w:val="494949"/>
          <w:sz w:val="24"/>
          <w:szCs w:val="24"/>
          <w:lang w:eastAsia="uk-UA"/>
        </w:rPr>
        <w:t xml:space="preserve">європейського досвіду нагляду у сфері телекомунікацій, </w:t>
      </w:r>
      <w:r w:rsidRPr="00A50764">
        <w:rPr>
          <w:rFonts w:ascii="Times New Roman" w:eastAsia="Times New Roman" w:hAnsi="Times New Roman"/>
          <w:bCs/>
          <w:iCs/>
          <w:color w:val="494949"/>
          <w:sz w:val="24"/>
          <w:szCs w:val="24"/>
          <w:lang w:eastAsia="uk-UA"/>
        </w:rPr>
        <w:t>якості послуг</w:t>
      </w:r>
      <w:r>
        <w:rPr>
          <w:rFonts w:ascii="Times New Roman" w:eastAsia="Times New Roman" w:hAnsi="Times New Roman"/>
          <w:bCs/>
          <w:iCs/>
          <w:color w:val="494949"/>
          <w:sz w:val="24"/>
          <w:szCs w:val="24"/>
          <w:lang w:eastAsia="uk-UA"/>
        </w:rPr>
        <w:t xml:space="preserve"> з презентаціями виступили е</w:t>
      </w:r>
      <w:r w:rsidRPr="00A50764">
        <w:rPr>
          <w:rFonts w:ascii="Times New Roman" w:eastAsia="Times New Roman" w:hAnsi="Times New Roman"/>
          <w:bCs/>
          <w:iCs/>
          <w:color w:val="494949"/>
          <w:sz w:val="24"/>
          <w:szCs w:val="24"/>
          <w:lang w:eastAsia="uk-UA"/>
        </w:rPr>
        <w:t>ксперт ринку телекомунікацій Олександр Баранов</w:t>
      </w:r>
      <w:r>
        <w:rPr>
          <w:rFonts w:ascii="Times New Roman" w:eastAsia="Times New Roman" w:hAnsi="Times New Roman"/>
          <w:bCs/>
          <w:iCs/>
          <w:color w:val="494949"/>
          <w:sz w:val="24"/>
          <w:szCs w:val="24"/>
          <w:lang w:eastAsia="uk-UA"/>
        </w:rPr>
        <w:t>, голова Комітету ІнАУ з питань захисту прав людини і свободи слова Максим Тульєв, з</w:t>
      </w:r>
      <w:r w:rsidRPr="00A50764">
        <w:rPr>
          <w:rFonts w:ascii="Times New Roman" w:eastAsia="Times New Roman" w:hAnsi="Times New Roman"/>
          <w:bCs/>
          <w:iCs/>
          <w:color w:val="494949"/>
          <w:sz w:val="24"/>
          <w:szCs w:val="24"/>
          <w:lang w:eastAsia="uk-UA"/>
        </w:rPr>
        <w:t xml:space="preserve">аступник Департаменту державного нагляду НКРЗІ – начальник управління координації державного нагляду Василь Гуда, </w:t>
      </w:r>
      <w:r>
        <w:rPr>
          <w:rFonts w:ascii="Times New Roman" w:eastAsia="Times New Roman" w:hAnsi="Times New Roman"/>
          <w:bCs/>
          <w:iCs/>
          <w:color w:val="494949"/>
          <w:sz w:val="24"/>
          <w:szCs w:val="24"/>
          <w:lang w:eastAsia="uk-UA"/>
        </w:rPr>
        <w:t xml:space="preserve">представник УДЦР </w:t>
      </w:r>
      <w:r w:rsidRPr="00A50764">
        <w:rPr>
          <w:rFonts w:ascii="Times New Roman" w:eastAsia="Times New Roman" w:hAnsi="Times New Roman"/>
          <w:bCs/>
          <w:iCs/>
          <w:color w:val="494949"/>
          <w:sz w:val="24"/>
          <w:szCs w:val="24"/>
          <w:lang w:eastAsia="uk-UA"/>
        </w:rPr>
        <w:t>Сергій Тимченко</w:t>
      </w:r>
      <w:r>
        <w:rPr>
          <w:rFonts w:ascii="Times New Roman" w:eastAsia="Times New Roman" w:hAnsi="Times New Roman"/>
          <w:bCs/>
          <w:iCs/>
          <w:color w:val="494949"/>
          <w:sz w:val="24"/>
          <w:szCs w:val="24"/>
          <w:lang w:eastAsia="uk-UA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5689"/>
      </w:tblGrid>
      <w:tr w:rsidR="00002C30" w:rsidTr="00C277AF">
        <w:tc>
          <w:tcPr>
            <w:tcW w:w="3208" w:type="dxa"/>
          </w:tcPr>
          <w:p w:rsidR="00A50764" w:rsidRPr="000E2B3D" w:rsidRDefault="00002C30" w:rsidP="000E2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5D4C4D3C" wp14:editId="77BB7AC1">
                  <wp:extent cx="1900349" cy="1636599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696" cy="1642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9" w:type="dxa"/>
          </w:tcPr>
          <w:p w:rsidR="00A50764" w:rsidRDefault="00C277AF" w:rsidP="000E2B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94949"/>
                <w:sz w:val="24"/>
                <w:szCs w:val="24"/>
                <w:lang w:eastAsia="uk-UA"/>
              </w:rPr>
            </w:pPr>
            <w:r w:rsidRPr="000E2B3D"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uk-UA"/>
              </w:rPr>
              <w:t>ОЛЕКСАНДР БАРАНОВ</w:t>
            </w:r>
            <w:r w:rsidR="00002C30" w:rsidRPr="000E2B3D"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uk-UA"/>
              </w:rPr>
              <w:t xml:space="preserve"> про європейський підхід до реформування галузі телекомунікацій</w:t>
            </w:r>
            <w:r w:rsidR="00002C30" w:rsidRPr="000E2B3D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uk-UA"/>
              </w:rPr>
              <w:t>: європейський підхід – це п</w:t>
            </w:r>
            <w:r w:rsidR="00002C30" w:rsidRPr="000E2B3D">
              <w:rPr>
                <w:rFonts w:ascii="Times New Roman" w:eastAsia="Times New Roman" w:hAnsi="Times New Roman"/>
                <w:bCs/>
                <w:iCs/>
                <w:color w:val="494949"/>
                <w:sz w:val="24"/>
                <w:szCs w:val="24"/>
                <w:lang w:eastAsia="uk-UA"/>
              </w:rPr>
              <w:t>резумпція невин</w:t>
            </w:r>
            <w:r>
              <w:rPr>
                <w:rFonts w:ascii="Times New Roman" w:eastAsia="Times New Roman" w:hAnsi="Times New Roman"/>
                <w:bCs/>
                <w:iCs/>
                <w:color w:val="494949"/>
                <w:sz w:val="24"/>
                <w:szCs w:val="24"/>
                <w:lang w:eastAsia="uk-UA"/>
              </w:rPr>
              <w:t>уватості</w:t>
            </w:r>
            <w:r w:rsidR="00002C30" w:rsidRPr="000E2B3D">
              <w:rPr>
                <w:rFonts w:ascii="Times New Roman" w:eastAsia="Times New Roman" w:hAnsi="Times New Roman"/>
                <w:bCs/>
                <w:iCs/>
                <w:color w:val="494949"/>
                <w:sz w:val="24"/>
                <w:szCs w:val="24"/>
                <w:lang w:eastAsia="uk-UA"/>
              </w:rPr>
              <w:t xml:space="preserve"> і презумпція </w:t>
            </w:r>
            <w:r w:rsidRPr="000E2B3D">
              <w:rPr>
                <w:rFonts w:ascii="Times New Roman" w:eastAsia="Times New Roman" w:hAnsi="Times New Roman"/>
                <w:bCs/>
                <w:iCs/>
                <w:color w:val="494949"/>
                <w:sz w:val="24"/>
                <w:szCs w:val="24"/>
                <w:lang w:eastAsia="uk-UA"/>
              </w:rPr>
              <w:t>добросовісної</w:t>
            </w:r>
            <w:r w:rsidR="00002C30" w:rsidRPr="000E2B3D">
              <w:rPr>
                <w:rFonts w:ascii="Times New Roman" w:eastAsia="Times New Roman" w:hAnsi="Times New Roman"/>
                <w:bCs/>
                <w:iCs/>
                <w:color w:val="494949"/>
                <w:sz w:val="24"/>
                <w:szCs w:val="24"/>
                <w:lang w:eastAsia="uk-UA"/>
              </w:rPr>
              <w:t xml:space="preserve"> поведінки, основана на довірі і контролі. НКРЗІ, оператори і споживачі – партнери у досягненні о</w:t>
            </w:r>
            <w:r w:rsidR="00002C30" w:rsidRPr="000E2B3D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uk-UA"/>
              </w:rPr>
              <w:t>сновної цілі реформування галузі телекомунікацій: доступ користувачів до максимально можливого спектру якісних телекомунікаційних послуг</w:t>
            </w:r>
          </w:p>
        </w:tc>
      </w:tr>
    </w:tbl>
    <w:p w:rsidR="00A50764" w:rsidRDefault="00A50764" w:rsidP="00002C30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494949"/>
          <w:sz w:val="24"/>
          <w:szCs w:val="24"/>
          <w:lang w:eastAsia="uk-UA"/>
        </w:rPr>
      </w:pPr>
    </w:p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2566"/>
      </w:tblGrid>
      <w:tr w:rsidR="000E2B3D" w:rsidTr="00C277AF">
        <w:tc>
          <w:tcPr>
            <w:tcW w:w="4097" w:type="dxa"/>
          </w:tcPr>
          <w:p w:rsidR="000E2B3D" w:rsidRDefault="00C277AF" w:rsidP="00002C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uk-UA"/>
              </w:rPr>
            </w:pPr>
            <w:r w:rsidRPr="00656D1F">
              <w:rPr>
                <w:rFonts w:ascii="Times New Roman" w:eastAsia="Times New Roman" w:hAnsi="Times New Roman"/>
                <w:b/>
                <w:bCs/>
                <w:color w:val="494949"/>
                <w:sz w:val="24"/>
                <w:szCs w:val="24"/>
                <w:lang w:eastAsia="uk-UA"/>
              </w:rPr>
              <w:t>СЕРГІЙ ТИМЧЕНКО</w:t>
            </w:r>
            <w:r w:rsidR="000E2B3D" w:rsidRPr="00656D1F">
              <w:rPr>
                <w:rFonts w:ascii="Times New Roman" w:eastAsia="Times New Roman" w:hAnsi="Times New Roman"/>
                <w:b/>
                <w:bCs/>
                <w:color w:val="494949"/>
                <w:sz w:val="24"/>
                <w:szCs w:val="24"/>
                <w:lang w:eastAsia="uk-UA"/>
              </w:rPr>
              <w:t xml:space="preserve"> щодо </w:t>
            </w:r>
            <w:r w:rsidR="000E2B3D" w:rsidRPr="00BE3161"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uk-UA"/>
              </w:rPr>
              <w:t xml:space="preserve"> показників як</w:t>
            </w:r>
            <w:r w:rsidR="000E2B3D" w:rsidRPr="00656D1F"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uk-UA"/>
              </w:rPr>
              <w:t>ості доступу до мережі Інтернет</w:t>
            </w:r>
            <w:r w:rsidR="000E2B3D" w:rsidRPr="00656D1F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uk-UA"/>
              </w:rPr>
              <w:t>:</w:t>
            </w:r>
            <w:r w:rsidR="00002C30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uk-UA"/>
              </w:rPr>
              <w:t xml:space="preserve"> </w:t>
            </w:r>
            <w:r w:rsidR="000E2B3D" w:rsidRPr="000E2B3D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uk-UA"/>
              </w:rPr>
              <w:t>Загальна кількість вим</w:t>
            </w:r>
            <w:r w:rsidR="000E2B3D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uk-UA"/>
              </w:rPr>
              <w:t>ірювань у нас в минулому році була</w:t>
            </w:r>
            <w:r w:rsidR="000E2B3D" w:rsidRPr="000E2B3D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uk-UA"/>
              </w:rPr>
              <w:t xml:space="preserve"> </w:t>
            </w:r>
            <w:r w:rsidR="000E2B3D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uk-UA"/>
              </w:rPr>
              <w:t xml:space="preserve">понад </w:t>
            </w:r>
            <w:r w:rsidR="000E2B3D" w:rsidRPr="000E2B3D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uk-UA"/>
              </w:rPr>
              <w:t xml:space="preserve">250, в </w:t>
            </w:r>
            <w:r w:rsidR="000E2B3D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uk-UA"/>
              </w:rPr>
              <w:t xml:space="preserve">цьому </w:t>
            </w:r>
            <w:r w:rsidR="000E2B3D" w:rsidRPr="000E2B3D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uk-UA"/>
              </w:rPr>
              <w:t xml:space="preserve">році є </w:t>
            </w:r>
            <w:r w:rsidRPr="000E2B3D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uk-UA"/>
              </w:rPr>
              <w:t>динаміка</w:t>
            </w:r>
            <w:r w:rsidR="000E2B3D" w:rsidRPr="000E2B3D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uk-UA"/>
              </w:rPr>
              <w:t xml:space="preserve"> на збільшення. </w:t>
            </w:r>
            <w:r w:rsidR="000E2B3D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uk-UA"/>
              </w:rPr>
              <w:t>Всі вимірювання показали відповідність показників встановленим нормам.</w:t>
            </w:r>
          </w:p>
          <w:p w:rsidR="000E2B3D" w:rsidRDefault="000E2B3D" w:rsidP="000E2B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94949"/>
                <w:sz w:val="24"/>
                <w:szCs w:val="24"/>
                <w:lang w:eastAsia="uk-UA"/>
              </w:rPr>
            </w:pPr>
          </w:p>
        </w:tc>
        <w:tc>
          <w:tcPr>
            <w:tcW w:w="2566" w:type="dxa"/>
          </w:tcPr>
          <w:p w:rsidR="000E2B3D" w:rsidRDefault="000E2B3D" w:rsidP="00C933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94949"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05307B82" wp14:editId="2FFEED70">
                  <wp:extent cx="1420564" cy="161614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225" cy="1632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2B3D" w:rsidRDefault="000E2B3D" w:rsidP="00002C30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494949"/>
          <w:sz w:val="24"/>
          <w:szCs w:val="24"/>
          <w:lang w:eastAsia="uk-UA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42"/>
        <w:gridCol w:w="3955"/>
        <w:gridCol w:w="1573"/>
        <w:gridCol w:w="1526"/>
      </w:tblGrid>
      <w:tr w:rsidR="00002C30" w:rsidTr="00C277AF">
        <w:trPr>
          <w:gridAfter w:val="1"/>
          <w:wAfter w:w="1526" w:type="dxa"/>
        </w:trPr>
        <w:tc>
          <w:tcPr>
            <w:tcW w:w="3119" w:type="dxa"/>
            <w:gridSpan w:val="2"/>
          </w:tcPr>
          <w:p w:rsidR="00002C30" w:rsidRDefault="00002C30" w:rsidP="00002C3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94949"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58DE7A0B" wp14:editId="69FCE218">
                  <wp:extent cx="1477689" cy="1790931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329" cy="1801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</w:tcPr>
          <w:p w:rsidR="00002C30" w:rsidRPr="00002C30" w:rsidRDefault="00C277AF" w:rsidP="00002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uk-UA"/>
              </w:rPr>
            </w:pPr>
            <w:r w:rsidRPr="00002C30"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uk-UA"/>
              </w:rPr>
              <w:t>МАКСИМ ТУЛЬЄВ</w:t>
            </w:r>
            <w:r w:rsidR="00002C30" w:rsidRPr="00002C30"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uk-UA"/>
              </w:rPr>
              <w:t xml:space="preserve"> щодо відпо</w:t>
            </w:r>
            <w:r w:rsidR="00002C30"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uk-UA"/>
              </w:rPr>
              <w:t>в</w:t>
            </w:r>
            <w:r w:rsidR="00002C30" w:rsidRPr="00002C30"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uk-UA"/>
              </w:rPr>
              <w:t>іда</w:t>
            </w:r>
            <w:r w:rsidR="00002C30"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uk-UA"/>
              </w:rPr>
              <w:t>л</w:t>
            </w:r>
            <w:r w:rsidR="00002C30" w:rsidRPr="00002C30"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uk-UA"/>
              </w:rPr>
              <w:t>ьності за блокування</w:t>
            </w:r>
            <w:r w:rsidR="00002C30" w:rsidRPr="00002C30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uk-UA"/>
              </w:rPr>
              <w:t xml:space="preserve">: якщо провайдер щось перезаблокував (оверблокінг), він несе відповідальність перед клієнтом за ст. 148-2 Кодексу України з адміністративних правопорушень, </w:t>
            </w:r>
            <w:r w:rsidR="009666CC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uk-UA"/>
              </w:rPr>
              <w:t>а</w:t>
            </w:r>
            <w:r w:rsidR="00002C30" w:rsidRPr="00002C30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uk-UA"/>
              </w:rPr>
              <w:t xml:space="preserve"> якщо недозаблокува</w:t>
            </w:r>
            <w:r w:rsidR="009666CC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uk-UA"/>
              </w:rPr>
              <w:t>в</w:t>
            </w:r>
            <w:r w:rsidR="00002C30" w:rsidRPr="00002C30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uk-UA"/>
              </w:rPr>
              <w:t xml:space="preserve">, або </w:t>
            </w:r>
            <w:r w:rsidR="009666CC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uk-UA"/>
              </w:rPr>
              <w:t xml:space="preserve">зовсім </w:t>
            </w:r>
            <w:r w:rsidR="00002C30" w:rsidRPr="00002C30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uk-UA"/>
              </w:rPr>
              <w:t>не заблокува</w:t>
            </w:r>
            <w:r w:rsidR="009666CC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uk-UA"/>
              </w:rPr>
              <w:t>в</w:t>
            </w:r>
            <w:r w:rsidR="00002C30" w:rsidRPr="00002C30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uk-UA"/>
              </w:rPr>
              <w:t xml:space="preserve">, відповідальності поки що немає. </w:t>
            </w:r>
          </w:p>
        </w:tc>
      </w:tr>
      <w:tr w:rsidR="00002C30" w:rsidTr="00C277AF">
        <w:trPr>
          <w:gridBefore w:val="1"/>
          <w:wBefore w:w="2977" w:type="dxa"/>
        </w:trPr>
        <w:tc>
          <w:tcPr>
            <w:tcW w:w="4097" w:type="dxa"/>
            <w:gridSpan w:val="2"/>
          </w:tcPr>
          <w:p w:rsidR="00002C30" w:rsidRPr="00BD24C8" w:rsidRDefault="00C277AF" w:rsidP="00C933E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94949"/>
                <w:sz w:val="24"/>
                <w:szCs w:val="24"/>
                <w:lang w:eastAsia="uk-UA"/>
              </w:rPr>
            </w:pPr>
            <w:r w:rsidRPr="00BD24C8"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uk-UA"/>
              </w:rPr>
              <w:lastRenderedPageBreak/>
              <w:t>ВАСИЛЬ ГУДА</w:t>
            </w:r>
            <w:r w:rsidR="00002C30" w:rsidRPr="00BD24C8"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uk-UA"/>
              </w:rPr>
              <w:t xml:space="preserve"> щодо протидії </w:t>
            </w:r>
            <w:r w:rsidR="00002C30"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uk-UA"/>
              </w:rPr>
              <w:t xml:space="preserve"> </w:t>
            </w:r>
            <w:r w:rsidRPr="00BD24C8"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uk-UA"/>
              </w:rPr>
              <w:t>нелегалам</w:t>
            </w:r>
            <w:r w:rsidR="00002C30" w:rsidRPr="00BD24C8"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uk-UA"/>
              </w:rPr>
              <w:t xml:space="preserve"> </w:t>
            </w:r>
            <w:r w:rsidR="00002C30" w:rsidRPr="00BD24C8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uk-UA"/>
              </w:rPr>
              <w:t xml:space="preserve">Законодавство сьогодні не дає права на протидію нелегалам: неможливо провести заходи державного нагляду </w:t>
            </w:r>
            <w:r w:rsidRPr="00BD24C8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uk-UA"/>
              </w:rPr>
              <w:t>стосовно</w:t>
            </w:r>
            <w:r w:rsidR="00002C30" w:rsidRPr="00BD24C8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uk-UA"/>
              </w:rPr>
              <w:t xml:space="preserve"> суб</w:t>
            </w:r>
            <w:r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uk-UA"/>
              </w:rPr>
              <w:t>’є</w:t>
            </w:r>
            <w:r w:rsidR="00002C30" w:rsidRPr="00BD24C8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uk-UA"/>
              </w:rPr>
              <w:t xml:space="preserve">ктів </w:t>
            </w:r>
            <w:r w:rsidRPr="00BD24C8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uk-UA"/>
              </w:rPr>
              <w:t>господарювання</w:t>
            </w:r>
            <w:r w:rsidR="00002C30" w:rsidRPr="00BD24C8">
              <w:rPr>
                <w:rFonts w:ascii="Times New Roman" w:eastAsia="Times New Roman" w:hAnsi="Times New Roman"/>
                <w:color w:val="494949"/>
                <w:sz w:val="24"/>
                <w:szCs w:val="24"/>
                <w:lang w:eastAsia="uk-UA"/>
              </w:rPr>
              <w:t xml:space="preserve"> які не внесені до реєстру операторів, провайдерів телекомунікацій та </w:t>
            </w:r>
            <w:r w:rsidR="00002C30" w:rsidRPr="00BD24C8">
              <w:rPr>
                <w:rFonts w:ascii="Times New Roman" w:hAnsi="Times New Roman"/>
                <w:bCs/>
                <w:color w:val="444444"/>
                <w:sz w:val="24"/>
                <w:szCs w:val="24"/>
                <w:shd w:val="clear" w:color="auto" w:fill="FFFFFF"/>
              </w:rPr>
              <w:t>Реєстру виданих ліцензій</w:t>
            </w:r>
            <w:r w:rsidR="00002C30" w:rsidRPr="00BD24C8">
              <w:rPr>
                <w:rFonts w:ascii="Arial" w:hAnsi="Arial" w:cs="Arial"/>
                <w:bCs/>
                <w:color w:val="444444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3099" w:type="dxa"/>
            <w:gridSpan w:val="2"/>
          </w:tcPr>
          <w:p w:rsidR="00002C30" w:rsidRDefault="00002C30" w:rsidP="00C933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94949"/>
                <w:sz w:val="24"/>
                <w:szCs w:val="24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BAA00EA" wp14:editId="43F1FBDB">
                  <wp:extent cx="1605585" cy="176500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916" cy="1775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20A3" w:rsidRDefault="00C320A3" w:rsidP="00BE316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Cs/>
          <w:color w:val="494949"/>
          <w:sz w:val="24"/>
          <w:szCs w:val="24"/>
          <w:lang w:eastAsia="uk-UA"/>
        </w:rPr>
      </w:pPr>
    </w:p>
    <w:p w:rsidR="00002C30" w:rsidRPr="00C320A3" w:rsidRDefault="00C320A3" w:rsidP="00BE316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color w:val="494949"/>
          <w:sz w:val="24"/>
          <w:szCs w:val="24"/>
          <w:lang w:eastAsia="uk-UA"/>
        </w:rPr>
      </w:pPr>
      <w:bookmarkStart w:id="0" w:name="_GoBack"/>
      <w:r w:rsidRPr="00C320A3">
        <w:rPr>
          <w:rFonts w:ascii="Times New Roman" w:eastAsia="Times New Roman" w:hAnsi="Times New Roman"/>
          <w:bCs/>
          <w:iCs/>
          <w:color w:val="494949"/>
          <w:sz w:val="24"/>
          <w:szCs w:val="24"/>
          <w:lang w:eastAsia="uk-UA"/>
        </w:rPr>
        <w:t>9 червня ДЕК-2017 продовжить роботу.</w:t>
      </w:r>
    </w:p>
    <w:bookmarkEnd w:id="0"/>
    <w:p w:rsidR="00C320A3" w:rsidRDefault="00C320A3" w:rsidP="00BE316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Cs/>
          <w:color w:val="494949"/>
          <w:sz w:val="24"/>
          <w:szCs w:val="24"/>
          <w:lang w:eastAsia="uk-UA"/>
        </w:rPr>
      </w:pPr>
    </w:p>
    <w:p w:rsidR="00C277AF" w:rsidRDefault="00C277AF" w:rsidP="00BE316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Cs/>
          <w:color w:val="494949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iCs/>
          <w:color w:val="494949"/>
          <w:sz w:val="24"/>
          <w:szCs w:val="24"/>
          <w:lang w:eastAsia="uk-UA"/>
        </w:rPr>
        <w:t xml:space="preserve">Презентації </w:t>
      </w:r>
      <w:r w:rsidR="00C320A3">
        <w:rPr>
          <w:rFonts w:ascii="Times New Roman" w:eastAsia="Times New Roman" w:hAnsi="Times New Roman"/>
          <w:b/>
          <w:bCs/>
          <w:iCs/>
          <w:color w:val="494949"/>
          <w:sz w:val="24"/>
          <w:szCs w:val="24"/>
          <w:lang w:eastAsia="uk-UA"/>
        </w:rPr>
        <w:t xml:space="preserve">першого дня </w:t>
      </w:r>
      <w:r>
        <w:rPr>
          <w:rFonts w:ascii="Times New Roman" w:eastAsia="Times New Roman" w:hAnsi="Times New Roman"/>
          <w:b/>
          <w:bCs/>
          <w:iCs/>
          <w:color w:val="494949"/>
          <w:sz w:val="24"/>
          <w:szCs w:val="24"/>
          <w:lang w:eastAsia="uk-UA"/>
        </w:rPr>
        <w:t xml:space="preserve">конференції розміщено за адресою </w:t>
      </w:r>
      <w:hyperlink r:id="rId18" w:history="1">
        <w:r w:rsidRPr="00313CFA">
          <w:rPr>
            <w:rStyle w:val="a8"/>
            <w:rFonts w:ascii="Times New Roman" w:eastAsia="Times New Roman" w:hAnsi="Times New Roman"/>
            <w:sz w:val="24"/>
            <w:szCs w:val="24"/>
            <w:lang w:eastAsia="uk-UA"/>
          </w:rPr>
          <w:t>http://inau.ua/doc/6/all</w:t>
        </w:r>
      </w:hyperlink>
      <w:r>
        <w:rPr>
          <w:rFonts w:ascii="Times New Roman" w:eastAsia="Times New Roman" w:hAnsi="Times New Roman"/>
          <w:b/>
          <w:bCs/>
          <w:iCs/>
          <w:color w:val="494949"/>
          <w:sz w:val="24"/>
          <w:szCs w:val="24"/>
          <w:lang w:eastAsia="uk-UA"/>
        </w:rPr>
        <w:t xml:space="preserve"> </w:t>
      </w:r>
    </w:p>
    <w:p w:rsidR="00C277AF" w:rsidRPr="00C277AF" w:rsidRDefault="00C277AF" w:rsidP="00BE316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 w:rsidRPr="00C277AF">
        <w:rPr>
          <w:rFonts w:ascii="Times New Roman" w:eastAsia="Times New Roman" w:hAnsi="Times New Roman"/>
          <w:b/>
          <w:bCs/>
          <w:iCs/>
          <w:color w:val="494949"/>
          <w:sz w:val="24"/>
          <w:szCs w:val="24"/>
          <w:lang w:eastAsia="uk-UA"/>
        </w:rPr>
        <w:t xml:space="preserve">Веб-трансляція – за посиланням </w:t>
      </w:r>
      <w:hyperlink r:id="rId19" w:history="1">
        <w:r w:rsidRPr="00C277AF">
          <w:rPr>
            <w:rStyle w:val="a8"/>
            <w:rFonts w:ascii="Times New Roman" w:hAnsi="Times New Roman"/>
            <w:sz w:val="24"/>
            <w:szCs w:val="24"/>
          </w:rPr>
          <w:t>http://dek.org.ua/uk/online</w:t>
        </w:r>
      </w:hyperlink>
    </w:p>
    <w:p w:rsidR="00C277AF" w:rsidRPr="00C277AF" w:rsidRDefault="00C277AF" w:rsidP="00BE316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Cs/>
          <w:color w:val="494949"/>
          <w:sz w:val="24"/>
          <w:szCs w:val="24"/>
          <w:lang w:eastAsia="uk-UA"/>
        </w:rPr>
      </w:pPr>
      <w:r w:rsidRPr="00C277AF">
        <w:rPr>
          <w:rFonts w:ascii="Times New Roman" w:hAnsi="Times New Roman"/>
          <w:b/>
          <w:sz w:val="24"/>
          <w:szCs w:val="24"/>
          <w:lang w:val="ru-RU"/>
        </w:rPr>
        <w:t>Інформація про спонсорів і партнерів конференції</w:t>
      </w:r>
      <w:r w:rsidRPr="00C277AF">
        <w:rPr>
          <w:rFonts w:ascii="Times New Roman" w:hAnsi="Times New Roman"/>
          <w:sz w:val="24"/>
          <w:szCs w:val="24"/>
          <w:lang w:val="ru-RU"/>
        </w:rPr>
        <w:t xml:space="preserve"> – тут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20" w:history="1">
        <w:r w:rsidRPr="00313CFA">
          <w:rPr>
            <w:rStyle w:val="a8"/>
            <w:rFonts w:ascii="Times New Roman" w:hAnsi="Times New Roman"/>
            <w:sz w:val="24"/>
            <w:szCs w:val="24"/>
            <w:lang w:val="ru-RU"/>
          </w:rPr>
          <w:t>http://dek.org.ua/uk/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sectPr w:rsidR="00C277AF" w:rsidRPr="00C277AF" w:rsidSect="00455C68">
      <w:pgSz w:w="11906" w:h="16838"/>
      <w:pgMar w:top="426" w:right="707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A6D"/>
    <w:multiLevelType w:val="hybridMultilevel"/>
    <w:tmpl w:val="3028B504"/>
    <w:lvl w:ilvl="0" w:tplc="00DC4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E1192"/>
    <w:multiLevelType w:val="hybridMultilevel"/>
    <w:tmpl w:val="6E4236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0829"/>
    <w:multiLevelType w:val="hybridMultilevel"/>
    <w:tmpl w:val="7B3C4E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71FE9"/>
    <w:multiLevelType w:val="hybridMultilevel"/>
    <w:tmpl w:val="ECFC12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85E82"/>
    <w:multiLevelType w:val="hybridMultilevel"/>
    <w:tmpl w:val="D026DA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C6BF9"/>
    <w:multiLevelType w:val="hybridMultilevel"/>
    <w:tmpl w:val="FA0E8AA2"/>
    <w:lvl w:ilvl="0" w:tplc="BD88AE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D22692"/>
    <w:multiLevelType w:val="hybridMultilevel"/>
    <w:tmpl w:val="60E6F0BA"/>
    <w:lvl w:ilvl="0" w:tplc="00FE7218">
      <w:numFmt w:val="bullet"/>
      <w:lvlText w:val="-"/>
      <w:lvlJc w:val="left"/>
      <w:pPr>
        <w:ind w:left="435" w:hanging="360"/>
      </w:pPr>
      <w:rPr>
        <w:rFonts w:ascii="Times New Roman , serif" w:eastAsia="Times New Roman" w:hAnsi="Times New Roman , serif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21921D77"/>
    <w:multiLevelType w:val="multilevel"/>
    <w:tmpl w:val="4CF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C1D04"/>
    <w:multiLevelType w:val="hybridMultilevel"/>
    <w:tmpl w:val="B9F46E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56C2"/>
    <w:multiLevelType w:val="hybridMultilevel"/>
    <w:tmpl w:val="4C689CE4"/>
    <w:lvl w:ilvl="0" w:tplc="8FE4C3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758BB"/>
    <w:multiLevelType w:val="hybridMultilevel"/>
    <w:tmpl w:val="7C56684A"/>
    <w:lvl w:ilvl="0" w:tplc="424265D0">
      <w:numFmt w:val="bullet"/>
      <w:lvlText w:val="-"/>
      <w:lvlJc w:val="left"/>
      <w:pPr>
        <w:ind w:left="720" w:hanging="360"/>
      </w:pPr>
      <w:rPr>
        <w:rFonts w:ascii="Times New Roman , serif" w:eastAsia="Times New Roman" w:hAnsi="Times New Roman , serif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F5381"/>
    <w:multiLevelType w:val="hybridMultilevel"/>
    <w:tmpl w:val="AFDE76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515C2"/>
    <w:multiLevelType w:val="hybridMultilevel"/>
    <w:tmpl w:val="32FC638E"/>
    <w:lvl w:ilvl="0" w:tplc="B660F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348D2"/>
    <w:multiLevelType w:val="hybridMultilevel"/>
    <w:tmpl w:val="E9A02F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906FC"/>
    <w:multiLevelType w:val="multilevel"/>
    <w:tmpl w:val="64F0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C50650"/>
    <w:multiLevelType w:val="hybridMultilevel"/>
    <w:tmpl w:val="1D523E4C"/>
    <w:lvl w:ilvl="0" w:tplc="91EA6474">
      <w:numFmt w:val="bullet"/>
      <w:lvlText w:val="-"/>
      <w:lvlJc w:val="left"/>
      <w:pPr>
        <w:ind w:left="795" w:hanging="360"/>
      </w:pPr>
      <w:rPr>
        <w:rFonts w:ascii="Times New Roman , serif" w:eastAsia="Times New Roman" w:hAnsi="Times New Roman , serif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56A96579"/>
    <w:multiLevelType w:val="hybridMultilevel"/>
    <w:tmpl w:val="CEB6C0FA"/>
    <w:lvl w:ilvl="0" w:tplc="8FE4C3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C2485"/>
    <w:multiLevelType w:val="multilevel"/>
    <w:tmpl w:val="77BC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FC0DCC"/>
    <w:multiLevelType w:val="hybridMultilevel"/>
    <w:tmpl w:val="26168138"/>
    <w:lvl w:ilvl="0" w:tplc="EE08691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274C56"/>
    <w:multiLevelType w:val="hybridMultilevel"/>
    <w:tmpl w:val="95B827C0"/>
    <w:lvl w:ilvl="0" w:tplc="3E584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30FB2"/>
    <w:multiLevelType w:val="hybridMultilevel"/>
    <w:tmpl w:val="9A1243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46C19"/>
    <w:multiLevelType w:val="multilevel"/>
    <w:tmpl w:val="73D8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6F3B1F"/>
    <w:multiLevelType w:val="hybridMultilevel"/>
    <w:tmpl w:val="4676AF9E"/>
    <w:lvl w:ilvl="0" w:tplc="1F4AA862">
      <w:numFmt w:val="bullet"/>
      <w:lvlText w:val="-"/>
      <w:lvlJc w:val="left"/>
      <w:pPr>
        <w:ind w:left="435" w:hanging="360"/>
      </w:pPr>
      <w:rPr>
        <w:rFonts w:ascii="Times New Roman , serif" w:eastAsia="Times New Roman" w:hAnsi="Times New Roman , serif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4"/>
  </w:num>
  <w:num w:numId="5">
    <w:abstractNumId w:val="12"/>
  </w:num>
  <w:num w:numId="6">
    <w:abstractNumId w:val="5"/>
  </w:num>
  <w:num w:numId="7">
    <w:abstractNumId w:val="10"/>
  </w:num>
  <w:num w:numId="8">
    <w:abstractNumId w:val="22"/>
  </w:num>
  <w:num w:numId="9">
    <w:abstractNumId w:val="6"/>
  </w:num>
  <w:num w:numId="10">
    <w:abstractNumId w:val="15"/>
  </w:num>
  <w:num w:numId="11">
    <w:abstractNumId w:val="3"/>
  </w:num>
  <w:num w:numId="12">
    <w:abstractNumId w:val="19"/>
  </w:num>
  <w:num w:numId="13">
    <w:abstractNumId w:val="13"/>
  </w:num>
  <w:num w:numId="14">
    <w:abstractNumId w:val="11"/>
  </w:num>
  <w:num w:numId="15">
    <w:abstractNumId w:val="16"/>
  </w:num>
  <w:num w:numId="16">
    <w:abstractNumId w:val="21"/>
  </w:num>
  <w:num w:numId="17">
    <w:abstractNumId w:val="17"/>
  </w:num>
  <w:num w:numId="18">
    <w:abstractNumId w:val="14"/>
  </w:num>
  <w:num w:numId="19">
    <w:abstractNumId w:val="9"/>
  </w:num>
  <w:num w:numId="20">
    <w:abstractNumId w:val="2"/>
  </w:num>
  <w:num w:numId="21">
    <w:abstractNumId w:val="7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70F8"/>
    <w:rsid w:val="00001024"/>
    <w:rsid w:val="00002C30"/>
    <w:rsid w:val="000111D9"/>
    <w:rsid w:val="00017DA8"/>
    <w:rsid w:val="00021990"/>
    <w:rsid w:val="000303B2"/>
    <w:rsid w:val="00032230"/>
    <w:rsid w:val="000401E3"/>
    <w:rsid w:val="00047F99"/>
    <w:rsid w:val="00053810"/>
    <w:rsid w:val="00060194"/>
    <w:rsid w:val="00060393"/>
    <w:rsid w:val="00071987"/>
    <w:rsid w:val="000908A1"/>
    <w:rsid w:val="00090F9A"/>
    <w:rsid w:val="00091AE4"/>
    <w:rsid w:val="00093132"/>
    <w:rsid w:val="00096293"/>
    <w:rsid w:val="000A093D"/>
    <w:rsid w:val="000A2C42"/>
    <w:rsid w:val="000A315D"/>
    <w:rsid w:val="000A6063"/>
    <w:rsid w:val="000B5FC7"/>
    <w:rsid w:val="000B7170"/>
    <w:rsid w:val="000C2FD5"/>
    <w:rsid w:val="000C498B"/>
    <w:rsid w:val="000D6614"/>
    <w:rsid w:val="000D6919"/>
    <w:rsid w:val="000E12D5"/>
    <w:rsid w:val="000E1BAB"/>
    <w:rsid w:val="000E20FD"/>
    <w:rsid w:val="000E2B3D"/>
    <w:rsid w:val="000E330B"/>
    <w:rsid w:val="000F50D1"/>
    <w:rsid w:val="001035AC"/>
    <w:rsid w:val="001043CE"/>
    <w:rsid w:val="001126DD"/>
    <w:rsid w:val="00114571"/>
    <w:rsid w:val="00121B71"/>
    <w:rsid w:val="00124023"/>
    <w:rsid w:val="0012660D"/>
    <w:rsid w:val="001270E0"/>
    <w:rsid w:val="0013141C"/>
    <w:rsid w:val="00133D8E"/>
    <w:rsid w:val="00182CDC"/>
    <w:rsid w:val="00184FA5"/>
    <w:rsid w:val="00186F0A"/>
    <w:rsid w:val="0018777F"/>
    <w:rsid w:val="0019037F"/>
    <w:rsid w:val="001A56F2"/>
    <w:rsid w:val="001A7B56"/>
    <w:rsid w:val="001B5C80"/>
    <w:rsid w:val="001B68B1"/>
    <w:rsid w:val="001C4BF6"/>
    <w:rsid w:val="001C5627"/>
    <w:rsid w:val="001D0106"/>
    <w:rsid w:val="001D5A67"/>
    <w:rsid w:val="001E03DC"/>
    <w:rsid w:val="001E36DD"/>
    <w:rsid w:val="001E5D5E"/>
    <w:rsid w:val="001F23F5"/>
    <w:rsid w:val="00200116"/>
    <w:rsid w:val="0020028F"/>
    <w:rsid w:val="002032B6"/>
    <w:rsid w:val="00216912"/>
    <w:rsid w:val="002207DB"/>
    <w:rsid w:val="00252A7A"/>
    <w:rsid w:val="00261324"/>
    <w:rsid w:val="002647F3"/>
    <w:rsid w:val="00266637"/>
    <w:rsid w:val="00266AA2"/>
    <w:rsid w:val="00297582"/>
    <w:rsid w:val="002B09E3"/>
    <w:rsid w:val="002B5E1C"/>
    <w:rsid w:val="002C31C6"/>
    <w:rsid w:val="002C3D3C"/>
    <w:rsid w:val="002D2123"/>
    <w:rsid w:val="002D2E2D"/>
    <w:rsid w:val="002D6C54"/>
    <w:rsid w:val="002D70FA"/>
    <w:rsid w:val="002F4BD7"/>
    <w:rsid w:val="00304B1D"/>
    <w:rsid w:val="00306043"/>
    <w:rsid w:val="0031410C"/>
    <w:rsid w:val="003201A1"/>
    <w:rsid w:val="00322CF4"/>
    <w:rsid w:val="00325521"/>
    <w:rsid w:val="003357D8"/>
    <w:rsid w:val="00343335"/>
    <w:rsid w:val="00346FBB"/>
    <w:rsid w:val="003544E2"/>
    <w:rsid w:val="0036524C"/>
    <w:rsid w:val="00374EEB"/>
    <w:rsid w:val="00376859"/>
    <w:rsid w:val="00380970"/>
    <w:rsid w:val="00380EB1"/>
    <w:rsid w:val="00391744"/>
    <w:rsid w:val="003A029C"/>
    <w:rsid w:val="003A2286"/>
    <w:rsid w:val="003C28A2"/>
    <w:rsid w:val="003C43A1"/>
    <w:rsid w:val="003C6347"/>
    <w:rsid w:val="003C6705"/>
    <w:rsid w:val="003E7CB7"/>
    <w:rsid w:val="003F71EB"/>
    <w:rsid w:val="0040174E"/>
    <w:rsid w:val="0041227E"/>
    <w:rsid w:val="00415CFE"/>
    <w:rsid w:val="00417CBA"/>
    <w:rsid w:val="0042091A"/>
    <w:rsid w:val="00424095"/>
    <w:rsid w:val="00426268"/>
    <w:rsid w:val="00427A0C"/>
    <w:rsid w:val="00432DD4"/>
    <w:rsid w:val="004473E8"/>
    <w:rsid w:val="00454450"/>
    <w:rsid w:val="00455C68"/>
    <w:rsid w:val="00456848"/>
    <w:rsid w:val="00462728"/>
    <w:rsid w:val="004769D9"/>
    <w:rsid w:val="00482046"/>
    <w:rsid w:val="00483118"/>
    <w:rsid w:val="0048448C"/>
    <w:rsid w:val="0048469D"/>
    <w:rsid w:val="00487B0E"/>
    <w:rsid w:val="00487ECD"/>
    <w:rsid w:val="004A1C66"/>
    <w:rsid w:val="004A2B74"/>
    <w:rsid w:val="004A51AF"/>
    <w:rsid w:val="004B0B25"/>
    <w:rsid w:val="004B1CE9"/>
    <w:rsid w:val="004B2EE6"/>
    <w:rsid w:val="004D3326"/>
    <w:rsid w:val="004F1A2D"/>
    <w:rsid w:val="00502C9B"/>
    <w:rsid w:val="005076FB"/>
    <w:rsid w:val="00517134"/>
    <w:rsid w:val="0052515C"/>
    <w:rsid w:val="005253C7"/>
    <w:rsid w:val="0053767C"/>
    <w:rsid w:val="00552DB0"/>
    <w:rsid w:val="00560649"/>
    <w:rsid w:val="005625C0"/>
    <w:rsid w:val="0056372C"/>
    <w:rsid w:val="005652A5"/>
    <w:rsid w:val="00565350"/>
    <w:rsid w:val="00572415"/>
    <w:rsid w:val="005742DF"/>
    <w:rsid w:val="0057465C"/>
    <w:rsid w:val="00574DA5"/>
    <w:rsid w:val="00575515"/>
    <w:rsid w:val="00580977"/>
    <w:rsid w:val="00585CEF"/>
    <w:rsid w:val="005901AC"/>
    <w:rsid w:val="00592EDE"/>
    <w:rsid w:val="00595E1E"/>
    <w:rsid w:val="005A42A6"/>
    <w:rsid w:val="005A5FD0"/>
    <w:rsid w:val="005B70CA"/>
    <w:rsid w:val="005C24F6"/>
    <w:rsid w:val="005C37DA"/>
    <w:rsid w:val="005D5529"/>
    <w:rsid w:val="005D6AB2"/>
    <w:rsid w:val="005E0920"/>
    <w:rsid w:val="005E2CD5"/>
    <w:rsid w:val="005E5945"/>
    <w:rsid w:val="005E6DE2"/>
    <w:rsid w:val="005F542F"/>
    <w:rsid w:val="00601D2B"/>
    <w:rsid w:val="006106CB"/>
    <w:rsid w:val="00623BB7"/>
    <w:rsid w:val="00625255"/>
    <w:rsid w:val="00635B1A"/>
    <w:rsid w:val="006417BC"/>
    <w:rsid w:val="00652B41"/>
    <w:rsid w:val="006533B6"/>
    <w:rsid w:val="00656D1F"/>
    <w:rsid w:val="006657DD"/>
    <w:rsid w:val="00675365"/>
    <w:rsid w:val="006777B8"/>
    <w:rsid w:val="006862F0"/>
    <w:rsid w:val="006C53EE"/>
    <w:rsid w:val="006D191C"/>
    <w:rsid w:val="006E0921"/>
    <w:rsid w:val="006E12AC"/>
    <w:rsid w:val="006F428A"/>
    <w:rsid w:val="006F62CF"/>
    <w:rsid w:val="0070044D"/>
    <w:rsid w:val="0070102A"/>
    <w:rsid w:val="0070524A"/>
    <w:rsid w:val="00705383"/>
    <w:rsid w:val="00707835"/>
    <w:rsid w:val="00707DC4"/>
    <w:rsid w:val="007131B6"/>
    <w:rsid w:val="007217BE"/>
    <w:rsid w:val="00735246"/>
    <w:rsid w:val="00737B05"/>
    <w:rsid w:val="0074058A"/>
    <w:rsid w:val="007528D1"/>
    <w:rsid w:val="00762223"/>
    <w:rsid w:val="007663B6"/>
    <w:rsid w:val="00766C57"/>
    <w:rsid w:val="00780820"/>
    <w:rsid w:val="007870F8"/>
    <w:rsid w:val="007949BF"/>
    <w:rsid w:val="007A1CE5"/>
    <w:rsid w:val="007A5FEE"/>
    <w:rsid w:val="007B0B9A"/>
    <w:rsid w:val="007B131D"/>
    <w:rsid w:val="007D534C"/>
    <w:rsid w:val="007D5A9E"/>
    <w:rsid w:val="007E4201"/>
    <w:rsid w:val="00801CDE"/>
    <w:rsid w:val="00802B8A"/>
    <w:rsid w:val="008037A6"/>
    <w:rsid w:val="00811200"/>
    <w:rsid w:val="00824DA3"/>
    <w:rsid w:val="00841313"/>
    <w:rsid w:val="00845777"/>
    <w:rsid w:val="00847948"/>
    <w:rsid w:val="00857D36"/>
    <w:rsid w:val="008603E4"/>
    <w:rsid w:val="0086066B"/>
    <w:rsid w:val="00861CD5"/>
    <w:rsid w:val="00862AC3"/>
    <w:rsid w:val="00864A47"/>
    <w:rsid w:val="00865214"/>
    <w:rsid w:val="00874700"/>
    <w:rsid w:val="008825BD"/>
    <w:rsid w:val="00882DFB"/>
    <w:rsid w:val="008A0E8F"/>
    <w:rsid w:val="008A3DD2"/>
    <w:rsid w:val="008B1758"/>
    <w:rsid w:val="008B1940"/>
    <w:rsid w:val="008C4695"/>
    <w:rsid w:val="008C5682"/>
    <w:rsid w:val="008D2C49"/>
    <w:rsid w:val="008D61C1"/>
    <w:rsid w:val="008D77BE"/>
    <w:rsid w:val="008E0564"/>
    <w:rsid w:val="008F3E2D"/>
    <w:rsid w:val="008F64B8"/>
    <w:rsid w:val="00903B66"/>
    <w:rsid w:val="0091117C"/>
    <w:rsid w:val="00912322"/>
    <w:rsid w:val="0092409D"/>
    <w:rsid w:val="00924FF2"/>
    <w:rsid w:val="0093374D"/>
    <w:rsid w:val="0093574A"/>
    <w:rsid w:val="00936AE6"/>
    <w:rsid w:val="00940467"/>
    <w:rsid w:val="00944152"/>
    <w:rsid w:val="00946D6A"/>
    <w:rsid w:val="009634FB"/>
    <w:rsid w:val="009666CC"/>
    <w:rsid w:val="00971C59"/>
    <w:rsid w:val="00975148"/>
    <w:rsid w:val="009828B2"/>
    <w:rsid w:val="00991F31"/>
    <w:rsid w:val="009923F6"/>
    <w:rsid w:val="009978AD"/>
    <w:rsid w:val="009C40F4"/>
    <w:rsid w:val="009C5746"/>
    <w:rsid w:val="009C5C0C"/>
    <w:rsid w:val="009C78D2"/>
    <w:rsid w:val="009C7F19"/>
    <w:rsid w:val="009D20B0"/>
    <w:rsid w:val="009D4D32"/>
    <w:rsid w:val="009D5F55"/>
    <w:rsid w:val="009D70A0"/>
    <w:rsid w:val="009D779D"/>
    <w:rsid w:val="009E0CD1"/>
    <w:rsid w:val="009E6E59"/>
    <w:rsid w:val="009F489C"/>
    <w:rsid w:val="00A001C5"/>
    <w:rsid w:val="00A019EC"/>
    <w:rsid w:val="00A027F1"/>
    <w:rsid w:val="00A07D7E"/>
    <w:rsid w:val="00A11AA2"/>
    <w:rsid w:val="00A15385"/>
    <w:rsid w:val="00A209D4"/>
    <w:rsid w:val="00A21331"/>
    <w:rsid w:val="00A25C1A"/>
    <w:rsid w:val="00A32A3C"/>
    <w:rsid w:val="00A33A87"/>
    <w:rsid w:val="00A4040D"/>
    <w:rsid w:val="00A50764"/>
    <w:rsid w:val="00A53D93"/>
    <w:rsid w:val="00A575DF"/>
    <w:rsid w:val="00A6190F"/>
    <w:rsid w:val="00A635B4"/>
    <w:rsid w:val="00A72EA0"/>
    <w:rsid w:val="00A73766"/>
    <w:rsid w:val="00A81D3F"/>
    <w:rsid w:val="00A824A2"/>
    <w:rsid w:val="00A82DCC"/>
    <w:rsid w:val="00A90333"/>
    <w:rsid w:val="00A96F54"/>
    <w:rsid w:val="00AA280A"/>
    <w:rsid w:val="00AB09D8"/>
    <w:rsid w:val="00AB24B7"/>
    <w:rsid w:val="00AB6725"/>
    <w:rsid w:val="00AB6DE8"/>
    <w:rsid w:val="00AC2CED"/>
    <w:rsid w:val="00AD43B9"/>
    <w:rsid w:val="00AE1A9B"/>
    <w:rsid w:val="00AE5108"/>
    <w:rsid w:val="00AE5766"/>
    <w:rsid w:val="00AE6535"/>
    <w:rsid w:val="00AF093C"/>
    <w:rsid w:val="00AF5DCF"/>
    <w:rsid w:val="00B015AC"/>
    <w:rsid w:val="00B01BB8"/>
    <w:rsid w:val="00B02B5A"/>
    <w:rsid w:val="00B1300D"/>
    <w:rsid w:val="00B15434"/>
    <w:rsid w:val="00B23EA7"/>
    <w:rsid w:val="00B40470"/>
    <w:rsid w:val="00B42E94"/>
    <w:rsid w:val="00B43F57"/>
    <w:rsid w:val="00B630A0"/>
    <w:rsid w:val="00B67302"/>
    <w:rsid w:val="00B73EAF"/>
    <w:rsid w:val="00BA5DD3"/>
    <w:rsid w:val="00BB5CDF"/>
    <w:rsid w:val="00BC0F05"/>
    <w:rsid w:val="00BC2721"/>
    <w:rsid w:val="00BD24C8"/>
    <w:rsid w:val="00BE1A96"/>
    <w:rsid w:val="00BE3161"/>
    <w:rsid w:val="00BE38CE"/>
    <w:rsid w:val="00BF6B47"/>
    <w:rsid w:val="00BF7056"/>
    <w:rsid w:val="00C00262"/>
    <w:rsid w:val="00C012E3"/>
    <w:rsid w:val="00C016BB"/>
    <w:rsid w:val="00C022DB"/>
    <w:rsid w:val="00C04031"/>
    <w:rsid w:val="00C142F3"/>
    <w:rsid w:val="00C21D7C"/>
    <w:rsid w:val="00C22516"/>
    <w:rsid w:val="00C2757F"/>
    <w:rsid w:val="00C277AF"/>
    <w:rsid w:val="00C320A3"/>
    <w:rsid w:val="00C324C0"/>
    <w:rsid w:val="00C36ACD"/>
    <w:rsid w:val="00C521EA"/>
    <w:rsid w:val="00C70240"/>
    <w:rsid w:val="00C73B8C"/>
    <w:rsid w:val="00C84FE7"/>
    <w:rsid w:val="00C9291D"/>
    <w:rsid w:val="00CA28B3"/>
    <w:rsid w:val="00CA73B8"/>
    <w:rsid w:val="00CB126B"/>
    <w:rsid w:val="00CB2E29"/>
    <w:rsid w:val="00CB3C6C"/>
    <w:rsid w:val="00CC09F2"/>
    <w:rsid w:val="00CD274B"/>
    <w:rsid w:val="00CD2E72"/>
    <w:rsid w:val="00CD5935"/>
    <w:rsid w:val="00CD716C"/>
    <w:rsid w:val="00CF5258"/>
    <w:rsid w:val="00D06806"/>
    <w:rsid w:val="00D113F7"/>
    <w:rsid w:val="00D125FF"/>
    <w:rsid w:val="00D16960"/>
    <w:rsid w:val="00D27AFB"/>
    <w:rsid w:val="00D32387"/>
    <w:rsid w:val="00D329A5"/>
    <w:rsid w:val="00D53941"/>
    <w:rsid w:val="00D6223E"/>
    <w:rsid w:val="00D63EA0"/>
    <w:rsid w:val="00D6545E"/>
    <w:rsid w:val="00D72C30"/>
    <w:rsid w:val="00D8422A"/>
    <w:rsid w:val="00D910EA"/>
    <w:rsid w:val="00D95372"/>
    <w:rsid w:val="00D9548B"/>
    <w:rsid w:val="00D960CA"/>
    <w:rsid w:val="00DA1851"/>
    <w:rsid w:val="00DA6CD9"/>
    <w:rsid w:val="00DB5F60"/>
    <w:rsid w:val="00DD0AA7"/>
    <w:rsid w:val="00DF1E35"/>
    <w:rsid w:val="00DF2F03"/>
    <w:rsid w:val="00DF2F85"/>
    <w:rsid w:val="00E0677C"/>
    <w:rsid w:val="00E105FB"/>
    <w:rsid w:val="00E12378"/>
    <w:rsid w:val="00E153E3"/>
    <w:rsid w:val="00E15713"/>
    <w:rsid w:val="00E21FD9"/>
    <w:rsid w:val="00E23935"/>
    <w:rsid w:val="00E33B3A"/>
    <w:rsid w:val="00E36699"/>
    <w:rsid w:val="00E441D9"/>
    <w:rsid w:val="00E547D8"/>
    <w:rsid w:val="00E6316C"/>
    <w:rsid w:val="00E82B88"/>
    <w:rsid w:val="00E9472B"/>
    <w:rsid w:val="00EA0A23"/>
    <w:rsid w:val="00EC5F62"/>
    <w:rsid w:val="00EC7492"/>
    <w:rsid w:val="00ED22D3"/>
    <w:rsid w:val="00EF1FD4"/>
    <w:rsid w:val="00EF59E6"/>
    <w:rsid w:val="00F11A76"/>
    <w:rsid w:val="00F203DD"/>
    <w:rsid w:val="00F30AA0"/>
    <w:rsid w:val="00F32F8C"/>
    <w:rsid w:val="00F35E8B"/>
    <w:rsid w:val="00F55B43"/>
    <w:rsid w:val="00F61BB8"/>
    <w:rsid w:val="00F72B95"/>
    <w:rsid w:val="00F73710"/>
    <w:rsid w:val="00F809F3"/>
    <w:rsid w:val="00F92ECD"/>
    <w:rsid w:val="00F96C2F"/>
    <w:rsid w:val="00FA0F1E"/>
    <w:rsid w:val="00FA5066"/>
    <w:rsid w:val="00FA6ECC"/>
    <w:rsid w:val="00FA76F8"/>
    <w:rsid w:val="00FB2D36"/>
    <w:rsid w:val="00FC0AF2"/>
    <w:rsid w:val="00FC58D7"/>
    <w:rsid w:val="00FD101B"/>
    <w:rsid w:val="00FD2163"/>
    <w:rsid w:val="00FD253D"/>
    <w:rsid w:val="00FD49EB"/>
    <w:rsid w:val="00FE3A65"/>
    <w:rsid w:val="00FE45C9"/>
    <w:rsid w:val="00FF1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9C536"/>
  <w15:docId w15:val="{64B52540-76ED-4D42-A3AD-4728E847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603E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19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D6AB2"/>
    <w:rPr>
      <w:rFonts w:cs="Times New Roman"/>
    </w:rPr>
  </w:style>
  <w:style w:type="character" w:styleId="a4">
    <w:name w:val="Emphasis"/>
    <w:basedOn w:val="a0"/>
    <w:uiPriority w:val="20"/>
    <w:qFormat/>
    <w:rsid w:val="005D6AB2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5D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5D6A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35246"/>
    <w:pPr>
      <w:ind w:left="720"/>
      <w:contextualSpacing/>
    </w:pPr>
    <w:rPr>
      <w:rFonts w:cs="Calibri"/>
    </w:rPr>
  </w:style>
  <w:style w:type="character" w:styleId="a8">
    <w:name w:val="Hyperlink"/>
    <w:basedOn w:val="a0"/>
    <w:uiPriority w:val="99"/>
    <w:rsid w:val="00780820"/>
    <w:rPr>
      <w:rFonts w:cs="Times New Roman"/>
      <w:color w:val="0000FF"/>
      <w:u w:val="single"/>
    </w:rPr>
  </w:style>
  <w:style w:type="character" w:customStyle="1" w:styleId="rvts23">
    <w:name w:val="rvts23"/>
    <w:basedOn w:val="a0"/>
    <w:uiPriority w:val="99"/>
    <w:rsid w:val="001035AC"/>
    <w:rPr>
      <w:rFonts w:cs="Times New Roman"/>
    </w:rPr>
  </w:style>
  <w:style w:type="paragraph" w:styleId="a9">
    <w:name w:val="Normal (Web)"/>
    <w:basedOn w:val="a"/>
    <w:uiPriority w:val="99"/>
    <w:semiHidden/>
    <w:unhideWhenUsed/>
    <w:rsid w:val="004F1A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a">
    <w:name w:val="Strong"/>
    <w:basedOn w:val="a0"/>
    <w:uiPriority w:val="22"/>
    <w:qFormat/>
    <w:locked/>
    <w:rsid w:val="004F1A2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21D7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C21D7C"/>
    <w:rPr>
      <w:rFonts w:ascii="Consolas" w:hAnsi="Consolas" w:cs="Consolas"/>
      <w:sz w:val="20"/>
      <w:szCs w:val="20"/>
      <w:lang w:eastAsia="en-US"/>
    </w:rPr>
  </w:style>
  <w:style w:type="character" w:styleId="ab">
    <w:name w:val="FollowedHyperlink"/>
    <w:basedOn w:val="a0"/>
    <w:uiPriority w:val="99"/>
    <w:semiHidden/>
    <w:unhideWhenUsed/>
    <w:rsid w:val="00E9472B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6535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65350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565350"/>
    <w:rPr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65350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565350"/>
    <w:rPr>
      <w:b/>
      <w:bCs/>
      <w:sz w:val="20"/>
      <w:szCs w:val="20"/>
      <w:lang w:eastAsia="en-US"/>
    </w:rPr>
  </w:style>
  <w:style w:type="character" w:styleId="af1">
    <w:name w:val="Mention"/>
    <w:basedOn w:val="a0"/>
    <w:uiPriority w:val="99"/>
    <w:semiHidden/>
    <w:unhideWhenUsed/>
    <w:rsid w:val="00D72C3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inau.ua/doc/6/al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dek.org.ua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://dek.org.ua/uk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://dek.org.ua/uk/onlin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618B2-9F15-4AAE-99EA-FC0E9C75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4411</Words>
  <Characters>2515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 Куковский</cp:lastModifiedBy>
  <cp:revision>2</cp:revision>
  <cp:lastPrinted>2017-05-23T13:15:00Z</cp:lastPrinted>
  <dcterms:created xsi:type="dcterms:W3CDTF">2017-06-08T15:39:00Z</dcterms:created>
  <dcterms:modified xsi:type="dcterms:W3CDTF">2017-06-08T16:05:00Z</dcterms:modified>
</cp:coreProperties>
</file>